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E713C" w14:textId="2A40E18A" w:rsidR="00C06C41" w:rsidRPr="0088142B" w:rsidRDefault="00C06C41" w:rsidP="00C06C41">
      <w:pPr>
        <w:spacing w:line="480" w:lineRule="auto"/>
        <w:jc w:val="center"/>
        <w:rPr>
          <w:rFonts w:ascii="Calibri" w:hAnsi="Calibri" w:cs="Calibri"/>
          <w:b/>
          <w:color w:val="000000" w:themeColor="text1"/>
          <w:sz w:val="32"/>
        </w:rPr>
      </w:pPr>
      <w:r w:rsidRPr="0088142B">
        <w:rPr>
          <w:rFonts w:ascii="Calibri" w:hAnsi="Calibri" w:cs="Calibri"/>
          <w:b/>
          <w:color w:val="000000" w:themeColor="text1"/>
          <w:sz w:val="32"/>
        </w:rPr>
        <w:t>Supporting Information</w:t>
      </w:r>
    </w:p>
    <w:p w14:paraId="0B2C47DB" w14:textId="30B82462" w:rsidR="00322228" w:rsidRPr="0088142B" w:rsidRDefault="00C8494F" w:rsidP="0061084F">
      <w:pPr>
        <w:rPr>
          <w:rFonts w:ascii="Calibri" w:hAnsi="Calibri" w:cs="Calibri"/>
          <w:b/>
          <w:bCs/>
          <w:sz w:val="28"/>
          <w:szCs w:val="28"/>
        </w:rPr>
      </w:pPr>
      <w:bookmarkStart w:id="0" w:name="_Hlk210387349"/>
      <w:r w:rsidRPr="0088142B">
        <w:rPr>
          <w:rFonts w:ascii="Calibri" w:hAnsi="Calibri" w:cs="Calibri"/>
          <w:b/>
          <w:bCs/>
          <w:sz w:val="28"/>
          <w:szCs w:val="28"/>
        </w:rPr>
        <w:t>Bioinspired Stabilization of Fluorescent Au@SiO</w:t>
      </w:r>
      <w:r w:rsidRPr="0088142B">
        <w:rPr>
          <w:rFonts w:ascii="Calibri" w:hAnsi="Calibri" w:cs="Calibri"/>
          <w:b/>
          <w:bCs/>
          <w:sz w:val="28"/>
          <w:szCs w:val="28"/>
          <w:vertAlign w:val="subscript"/>
        </w:rPr>
        <w:t>2</w:t>
      </w:r>
      <w:r w:rsidRPr="0088142B">
        <w:rPr>
          <w:rFonts w:ascii="Calibri" w:hAnsi="Calibri" w:cs="Calibri"/>
          <w:b/>
          <w:bCs/>
          <w:sz w:val="28"/>
          <w:szCs w:val="28"/>
        </w:rPr>
        <w:t xml:space="preserve"> Tracers for Multimodal Biological Imaging</w:t>
      </w:r>
    </w:p>
    <w:bookmarkEnd w:id="0"/>
    <w:p w14:paraId="10E64E57" w14:textId="14F64525" w:rsidR="0061084F" w:rsidRPr="0088142B" w:rsidRDefault="0061084F" w:rsidP="0061084F">
      <w:pPr>
        <w:spacing w:line="360" w:lineRule="auto"/>
        <w:rPr>
          <w:rFonts w:ascii="Calibri" w:hAnsi="Calibri" w:cs="Calibri"/>
          <w:sz w:val="22"/>
        </w:rPr>
      </w:pPr>
      <w:r w:rsidRPr="0088142B">
        <w:rPr>
          <w:rFonts w:ascii="Calibri" w:hAnsi="Calibri" w:cs="Calibri"/>
          <w:sz w:val="22"/>
        </w:rPr>
        <w:t>Wang Sik Lee</w:t>
      </w:r>
      <w:r w:rsidRPr="0088142B">
        <w:rPr>
          <w:rFonts w:ascii="Calibri" w:hAnsi="Calibri" w:cs="Calibri"/>
          <w:sz w:val="22"/>
          <w:vertAlign w:val="superscript"/>
        </w:rPr>
        <w:t>1</w:t>
      </w:r>
      <w:r w:rsidRPr="0088142B">
        <w:rPr>
          <w:rFonts w:ascii="Calibri" w:hAnsi="Calibri" w:cs="Calibri"/>
          <w:sz w:val="22"/>
        </w:rPr>
        <w:t>, Henry Lee</w:t>
      </w:r>
      <w:r w:rsidRPr="0088142B">
        <w:rPr>
          <w:rFonts w:ascii="Calibri" w:hAnsi="Calibri" w:cs="Calibri"/>
          <w:sz w:val="22"/>
          <w:vertAlign w:val="superscript"/>
        </w:rPr>
        <w:t>1</w:t>
      </w:r>
      <w:r w:rsidRPr="0088142B">
        <w:rPr>
          <w:rFonts w:ascii="Calibri" w:hAnsi="Calibri" w:cs="Calibri"/>
          <w:sz w:val="22"/>
        </w:rPr>
        <w:t>, Patricia Taladriz-Blanco</w:t>
      </w:r>
      <w:r w:rsidRPr="0088142B">
        <w:rPr>
          <w:rFonts w:ascii="Calibri" w:hAnsi="Calibri" w:cs="Calibri"/>
          <w:sz w:val="22"/>
          <w:vertAlign w:val="superscript"/>
        </w:rPr>
        <w:t>1</w:t>
      </w:r>
      <w:r w:rsidRPr="0088142B">
        <w:rPr>
          <w:rFonts w:ascii="Calibri" w:hAnsi="Calibri" w:cs="Calibri"/>
          <w:sz w:val="22"/>
        </w:rPr>
        <w:t>, Dimitri Vanhecke</w:t>
      </w:r>
      <w:r w:rsidRPr="0088142B">
        <w:rPr>
          <w:rFonts w:ascii="Calibri" w:hAnsi="Calibri" w:cs="Calibri"/>
          <w:sz w:val="22"/>
          <w:vertAlign w:val="superscript"/>
        </w:rPr>
        <w:t>1</w:t>
      </w:r>
      <w:r w:rsidRPr="0088142B">
        <w:rPr>
          <w:rFonts w:ascii="Calibri" w:hAnsi="Calibri" w:cs="Calibri"/>
          <w:sz w:val="22"/>
        </w:rPr>
        <w:t>, Barbara Rothen-Rutishauser</w:t>
      </w:r>
      <w:r w:rsidRPr="0088142B">
        <w:rPr>
          <w:rFonts w:ascii="Calibri" w:hAnsi="Calibri" w:cs="Calibri"/>
          <w:sz w:val="22"/>
          <w:vertAlign w:val="superscript"/>
        </w:rPr>
        <w:t>1</w:t>
      </w:r>
      <w:r w:rsidRPr="0088142B">
        <w:rPr>
          <w:rFonts w:ascii="Calibri" w:hAnsi="Calibri" w:cs="Calibri"/>
          <w:sz w:val="22"/>
        </w:rPr>
        <w:t>, and Alke Petri-Fink*</w:t>
      </w:r>
      <w:r w:rsidRPr="0088142B">
        <w:rPr>
          <w:rFonts w:ascii="Calibri" w:hAnsi="Calibri" w:cs="Calibri"/>
          <w:sz w:val="22"/>
          <w:vertAlign w:val="superscript"/>
        </w:rPr>
        <w:t>1</w:t>
      </w:r>
    </w:p>
    <w:p w14:paraId="6E580B49" w14:textId="77777777" w:rsidR="0061084F" w:rsidRPr="0088142B" w:rsidRDefault="0061084F" w:rsidP="0061084F">
      <w:pPr>
        <w:spacing w:line="360" w:lineRule="auto"/>
        <w:rPr>
          <w:rFonts w:ascii="Calibri" w:hAnsi="Calibri" w:cs="Calibri"/>
          <w:sz w:val="22"/>
        </w:rPr>
      </w:pPr>
      <w:r w:rsidRPr="0088142B">
        <w:rPr>
          <w:rFonts w:ascii="Calibri" w:hAnsi="Calibri" w:cs="Calibri"/>
          <w:sz w:val="22"/>
          <w:vertAlign w:val="superscript"/>
        </w:rPr>
        <w:t>1</w:t>
      </w:r>
      <w:r w:rsidRPr="0088142B">
        <w:rPr>
          <w:rFonts w:ascii="Calibri" w:hAnsi="Calibri" w:cs="Calibri"/>
          <w:sz w:val="22"/>
        </w:rPr>
        <w:t xml:space="preserve">Adolphe Merkle Institute, University of Fribourg, Chemin des </w:t>
      </w:r>
      <w:proofErr w:type="spellStart"/>
      <w:r w:rsidRPr="0088142B">
        <w:rPr>
          <w:rFonts w:ascii="Calibri" w:hAnsi="Calibri" w:cs="Calibri"/>
          <w:sz w:val="22"/>
        </w:rPr>
        <w:t>Verdiers</w:t>
      </w:r>
      <w:proofErr w:type="spellEnd"/>
      <w:r w:rsidRPr="0088142B">
        <w:rPr>
          <w:rFonts w:ascii="Calibri" w:hAnsi="Calibri" w:cs="Calibri"/>
          <w:sz w:val="22"/>
        </w:rPr>
        <w:t xml:space="preserve"> 4, 1700 Fribourg, Switzerland</w:t>
      </w:r>
    </w:p>
    <w:p w14:paraId="582204E2" w14:textId="77777777" w:rsidR="0061084F" w:rsidRPr="0088142B" w:rsidRDefault="0061084F" w:rsidP="0061084F">
      <w:pPr>
        <w:spacing w:line="360" w:lineRule="auto"/>
        <w:rPr>
          <w:rFonts w:ascii="Calibri" w:hAnsi="Calibri" w:cs="Calibri"/>
          <w:sz w:val="22"/>
        </w:rPr>
      </w:pPr>
      <w:r w:rsidRPr="0088142B">
        <w:rPr>
          <w:rFonts w:ascii="Calibri" w:hAnsi="Calibri" w:cs="Calibri"/>
          <w:sz w:val="22"/>
        </w:rPr>
        <w:t>Corresponding author: Prof. Alke Petri-Fink (alke.fink@unifr.ch)</w:t>
      </w:r>
    </w:p>
    <w:p w14:paraId="1CC38AE8" w14:textId="07C735BC" w:rsidR="00EB2106" w:rsidRPr="0088142B" w:rsidRDefault="00EB2106" w:rsidP="003B4A51">
      <w:pPr>
        <w:pStyle w:val="ListParagraph"/>
        <w:spacing w:line="240" w:lineRule="auto"/>
        <w:ind w:leftChars="0" w:left="0"/>
        <w:contextualSpacing/>
        <w:jc w:val="left"/>
        <w:rPr>
          <w:rFonts w:ascii="Calibri" w:hAnsi="Calibri" w:cs="Calibri"/>
          <w:color w:val="000000" w:themeColor="text1"/>
          <w:sz w:val="24"/>
          <w:szCs w:val="24"/>
        </w:rPr>
      </w:pPr>
      <w:r w:rsidRPr="0088142B">
        <w:rPr>
          <w:rFonts w:ascii="Calibri" w:hAnsi="Calibri" w:cs="Calibri"/>
          <w:b/>
          <w:color w:val="000000" w:themeColor="text1"/>
          <w:sz w:val="24"/>
          <w:szCs w:val="24"/>
        </w:rPr>
        <w:br w:type="page"/>
      </w:r>
    </w:p>
    <w:p w14:paraId="523F8931" w14:textId="6E3C5D89" w:rsidR="001E13BE" w:rsidRPr="0088142B" w:rsidRDefault="00EA17A5">
      <w:pPr>
        <w:widowControl/>
        <w:wordWrap/>
        <w:autoSpaceDE/>
        <w:autoSpaceDN/>
        <w:rPr>
          <w:rFonts w:ascii="Calibri" w:hAnsi="Calibri" w:cs="Calibri"/>
          <w:szCs w:val="20"/>
        </w:rPr>
      </w:pPr>
      <w:r w:rsidRPr="0088142B">
        <w:rPr>
          <w:rFonts w:ascii="Calibri" w:hAnsi="Calibri" w:cs="Calibri"/>
          <w:i/>
          <w:iCs/>
          <w:noProof/>
          <w:szCs w:val="20"/>
        </w:rPr>
        <w:lastRenderedPageBreak/>
        <w:drawing>
          <wp:anchor distT="0" distB="0" distL="114300" distR="114300" simplePos="0" relativeHeight="251659264" behindDoc="0" locked="0" layoutInCell="1" allowOverlap="1" wp14:anchorId="247C63EC" wp14:editId="4549E5CA">
            <wp:simplePos x="0" y="0"/>
            <wp:positionH relativeFrom="column">
              <wp:posOffset>1219200</wp:posOffset>
            </wp:positionH>
            <wp:positionV relativeFrom="paragraph">
              <wp:posOffset>249670</wp:posOffset>
            </wp:positionV>
            <wp:extent cx="3310890" cy="2889885"/>
            <wp:effectExtent l="0" t="0" r="3810" b="5715"/>
            <wp:wrapSquare wrapText="bothSides"/>
            <wp:docPr id="1531558425" name="Picture 1"/>
            <wp:cNvGraphicFramePr/>
            <a:graphic xmlns:a="http://schemas.openxmlformats.org/drawingml/2006/main">
              <a:graphicData uri="http://schemas.openxmlformats.org/drawingml/2006/picture">
                <pic:pic xmlns:pic="http://schemas.openxmlformats.org/drawingml/2006/picture">
                  <pic:nvPicPr>
                    <pic:cNvPr id="1531558425" name="Picture 1"/>
                    <pic:cNvPicPr/>
                  </pic:nvPicPr>
                  <pic:blipFill rotWithShape="1">
                    <a:blip r:embed="rId8" cstate="print">
                      <a:extLst>
                        <a:ext uri="{28A0092B-C50C-407E-A947-70E740481C1C}">
                          <a14:useLocalDpi xmlns:a14="http://schemas.microsoft.com/office/drawing/2010/main" val="0"/>
                        </a:ext>
                      </a:extLst>
                    </a:blip>
                    <a:srcRect l="14478" t="14781" r="19632" b="45376"/>
                    <a:stretch/>
                  </pic:blipFill>
                  <pic:spPr bwMode="auto">
                    <a:xfrm>
                      <a:off x="0" y="0"/>
                      <a:ext cx="3310890" cy="2889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1E5F06" w14:textId="67C79217" w:rsidR="003548D6" w:rsidRPr="0088142B" w:rsidRDefault="003548D6" w:rsidP="003548D6">
      <w:pPr>
        <w:pStyle w:val="Caption"/>
        <w:rPr>
          <w:rFonts w:ascii="Calibri" w:hAnsi="Calibri" w:cs="Calibri"/>
          <w:i w:val="0"/>
          <w:iCs w:val="0"/>
          <w:color w:val="auto"/>
          <w:sz w:val="20"/>
          <w:szCs w:val="20"/>
        </w:rPr>
      </w:pPr>
    </w:p>
    <w:p w14:paraId="09C32ED2" w14:textId="58235B5D" w:rsidR="001E13BE" w:rsidRPr="0088142B" w:rsidRDefault="001E13BE" w:rsidP="001E13BE">
      <w:pPr>
        <w:widowControl/>
        <w:wordWrap/>
        <w:autoSpaceDE/>
        <w:autoSpaceDN/>
        <w:rPr>
          <w:rFonts w:ascii="Calibri" w:hAnsi="Calibri" w:cs="Calibri"/>
        </w:rPr>
      </w:pPr>
    </w:p>
    <w:p w14:paraId="5957A504" w14:textId="77777777" w:rsidR="001E13BE" w:rsidRPr="0088142B" w:rsidRDefault="001E13BE" w:rsidP="001E13BE">
      <w:pPr>
        <w:widowControl/>
        <w:wordWrap/>
        <w:autoSpaceDE/>
        <w:autoSpaceDN/>
        <w:rPr>
          <w:rFonts w:ascii="Calibri" w:hAnsi="Calibri" w:cs="Calibri"/>
        </w:rPr>
      </w:pPr>
    </w:p>
    <w:p w14:paraId="66CA9F18" w14:textId="77777777" w:rsidR="001E13BE" w:rsidRPr="0088142B" w:rsidRDefault="001E13BE" w:rsidP="001E13BE">
      <w:pPr>
        <w:widowControl/>
        <w:wordWrap/>
        <w:autoSpaceDE/>
        <w:autoSpaceDN/>
        <w:rPr>
          <w:rFonts w:ascii="Calibri" w:hAnsi="Calibri" w:cs="Calibri"/>
        </w:rPr>
      </w:pPr>
    </w:p>
    <w:p w14:paraId="4FD7913B" w14:textId="77777777" w:rsidR="001E13BE" w:rsidRPr="0088142B" w:rsidRDefault="001E13BE" w:rsidP="001E13BE">
      <w:pPr>
        <w:widowControl/>
        <w:wordWrap/>
        <w:autoSpaceDE/>
        <w:autoSpaceDN/>
        <w:rPr>
          <w:rFonts w:ascii="Calibri" w:hAnsi="Calibri" w:cs="Calibri"/>
        </w:rPr>
      </w:pPr>
    </w:p>
    <w:p w14:paraId="30BA4786" w14:textId="77777777" w:rsidR="001E13BE" w:rsidRPr="0088142B" w:rsidRDefault="001E13BE" w:rsidP="001E13BE">
      <w:pPr>
        <w:widowControl/>
        <w:wordWrap/>
        <w:autoSpaceDE/>
        <w:autoSpaceDN/>
        <w:rPr>
          <w:rFonts w:ascii="Calibri" w:hAnsi="Calibri" w:cs="Calibri"/>
        </w:rPr>
      </w:pPr>
    </w:p>
    <w:p w14:paraId="196BA843" w14:textId="77777777" w:rsidR="001E13BE" w:rsidRPr="0088142B" w:rsidRDefault="001E13BE" w:rsidP="001E13BE">
      <w:pPr>
        <w:widowControl/>
        <w:wordWrap/>
        <w:autoSpaceDE/>
        <w:autoSpaceDN/>
        <w:rPr>
          <w:rFonts w:ascii="Calibri" w:hAnsi="Calibri" w:cs="Calibri"/>
        </w:rPr>
      </w:pPr>
    </w:p>
    <w:p w14:paraId="1B05F4DC" w14:textId="77777777" w:rsidR="001E13BE" w:rsidRPr="0088142B" w:rsidRDefault="001E13BE" w:rsidP="001E13BE">
      <w:pPr>
        <w:widowControl/>
        <w:wordWrap/>
        <w:autoSpaceDE/>
        <w:autoSpaceDN/>
        <w:rPr>
          <w:rFonts w:ascii="Calibri" w:hAnsi="Calibri" w:cs="Calibri"/>
        </w:rPr>
      </w:pPr>
    </w:p>
    <w:p w14:paraId="66EB0477" w14:textId="77777777" w:rsidR="001E13BE" w:rsidRPr="0088142B" w:rsidRDefault="001E13BE" w:rsidP="001E13BE">
      <w:pPr>
        <w:pStyle w:val="Caption"/>
        <w:rPr>
          <w:rFonts w:ascii="Calibri" w:hAnsi="Calibri" w:cs="Calibri"/>
          <w:i w:val="0"/>
          <w:iCs w:val="0"/>
          <w:color w:val="auto"/>
          <w:sz w:val="20"/>
          <w:szCs w:val="20"/>
        </w:rPr>
      </w:pPr>
    </w:p>
    <w:p w14:paraId="157918AD" w14:textId="77777777" w:rsidR="008268B6" w:rsidRPr="0088142B" w:rsidRDefault="008268B6" w:rsidP="001E13BE">
      <w:pPr>
        <w:pStyle w:val="Caption"/>
        <w:rPr>
          <w:rFonts w:ascii="Calibri" w:hAnsi="Calibri" w:cs="Calibri"/>
          <w:i w:val="0"/>
          <w:iCs w:val="0"/>
          <w:color w:val="auto"/>
          <w:sz w:val="20"/>
          <w:szCs w:val="20"/>
        </w:rPr>
      </w:pPr>
    </w:p>
    <w:p w14:paraId="5E87DB81" w14:textId="77777777" w:rsidR="008268B6" w:rsidRPr="0088142B" w:rsidRDefault="008268B6" w:rsidP="001E13BE">
      <w:pPr>
        <w:pStyle w:val="Caption"/>
        <w:rPr>
          <w:rFonts w:ascii="Calibri" w:hAnsi="Calibri" w:cs="Calibri"/>
          <w:i w:val="0"/>
          <w:iCs w:val="0"/>
          <w:color w:val="auto"/>
          <w:sz w:val="20"/>
          <w:szCs w:val="20"/>
        </w:rPr>
      </w:pPr>
    </w:p>
    <w:p w14:paraId="24DFA485" w14:textId="49962BBD" w:rsidR="008C5A9E" w:rsidRPr="0088142B" w:rsidRDefault="001E13BE" w:rsidP="001E13BE">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w:t>
      </w:r>
      <w:r w:rsidR="00B70C68" w:rsidRPr="0088142B">
        <w:rPr>
          <w:rFonts w:ascii="Calibri" w:hAnsi="Calibri" w:cs="Calibri"/>
          <w:b/>
          <w:bCs/>
          <w:i w:val="0"/>
          <w:iCs w:val="0"/>
          <w:color w:val="auto"/>
          <w:sz w:val="20"/>
          <w:szCs w:val="20"/>
        </w:rPr>
        <w:t>1</w:t>
      </w:r>
      <w:r w:rsidRPr="0088142B">
        <w:rPr>
          <w:rFonts w:ascii="Calibri" w:hAnsi="Calibri" w:cs="Calibri"/>
          <w:b/>
          <w:bCs/>
          <w:i w:val="0"/>
          <w:iCs w:val="0"/>
          <w:color w:val="auto"/>
          <w:sz w:val="20"/>
          <w:szCs w:val="20"/>
        </w:rPr>
        <w:t>.</w:t>
      </w:r>
      <w:r w:rsidRPr="0088142B">
        <w:rPr>
          <w:rFonts w:ascii="Calibri" w:hAnsi="Calibri" w:cs="Calibri"/>
          <w:i w:val="0"/>
          <w:iCs w:val="0"/>
          <w:color w:val="auto"/>
          <w:sz w:val="20"/>
          <w:szCs w:val="20"/>
        </w:rPr>
        <w:t xml:space="preserve"> </w:t>
      </w:r>
      <w:r w:rsidR="00AB7235" w:rsidRPr="0088142B">
        <w:rPr>
          <w:rFonts w:ascii="Calibri" w:hAnsi="Calibri" w:cs="Calibri"/>
          <w:i w:val="0"/>
          <w:iCs w:val="0"/>
          <w:color w:val="auto"/>
          <w:sz w:val="20"/>
          <w:szCs w:val="20"/>
        </w:rPr>
        <w:t xml:space="preserve">(a) Hydrodynamic diameters of fluorescent </w:t>
      </w:r>
      <w:proofErr w:type="spellStart"/>
      <w:r w:rsidR="00AB7235" w:rsidRPr="0088142B">
        <w:rPr>
          <w:rFonts w:ascii="Calibri" w:hAnsi="Calibri" w:cs="Calibri"/>
          <w:i w:val="0"/>
          <w:iCs w:val="0"/>
          <w:color w:val="auto"/>
          <w:sz w:val="20"/>
          <w:szCs w:val="20"/>
        </w:rPr>
        <w:t>Au@SiO</w:t>
      </w:r>
      <w:proofErr w:type="spellEnd"/>
      <w:r w:rsidR="00AB7235" w:rsidRPr="0088142B">
        <w:rPr>
          <w:rFonts w:ascii="Calibri" w:hAnsi="Calibri" w:cs="Calibri"/>
          <w:i w:val="0"/>
          <w:iCs w:val="0"/>
          <w:color w:val="auto"/>
          <w:sz w:val="20"/>
          <w:szCs w:val="20"/>
        </w:rPr>
        <w:t xml:space="preserve">₂ NPs (20 μg/mL) measured in water, complete cell culture medium (cRPMI), and artificial lysosomal fluid (ALF) over time. After incubation, all samples were centrifuged and resuspended in fresh Milli-Q water for measurement. The Milli-Q water had a </w:t>
      </w:r>
      <w:r w:rsidR="007427A7" w:rsidRPr="0088142B">
        <w:rPr>
          <w:rFonts w:ascii="Calibri" w:hAnsi="Calibri" w:cs="Calibri"/>
          <w:i w:val="0"/>
          <w:iCs w:val="0"/>
          <w:color w:val="auto"/>
          <w:sz w:val="20"/>
          <w:szCs w:val="20"/>
        </w:rPr>
        <w:t>pH of 5.5–6.5</w:t>
      </w:r>
      <w:r w:rsidR="00AB7235" w:rsidRPr="0088142B">
        <w:rPr>
          <w:rFonts w:ascii="Calibri" w:hAnsi="Calibri" w:cs="Calibri"/>
          <w:i w:val="0"/>
          <w:iCs w:val="0"/>
          <w:color w:val="auto"/>
          <w:sz w:val="20"/>
          <w:szCs w:val="20"/>
        </w:rPr>
        <w:t>, and measurements were performed at 25 °C (n = 3).</w:t>
      </w:r>
      <w:r w:rsidR="00EA17A5" w:rsidRPr="0088142B">
        <w:rPr>
          <w:rFonts w:ascii="Calibri" w:hAnsi="Calibri" w:cs="Calibri"/>
          <w:i w:val="0"/>
          <w:iCs w:val="0"/>
          <w:color w:val="auto"/>
          <w:sz w:val="20"/>
          <w:szCs w:val="20"/>
        </w:rPr>
        <w:t xml:space="preserve"> </w:t>
      </w:r>
    </w:p>
    <w:p w14:paraId="573F8287" w14:textId="77777777" w:rsidR="008C5A9E" w:rsidRPr="0088142B" w:rsidRDefault="008C5A9E">
      <w:pPr>
        <w:widowControl/>
        <w:wordWrap/>
        <w:autoSpaceDE/>
        <w:autoSpaceDN/>
        <w:rPr>
          <w:rFonts w:ascii="Calibri" w:hAnsi="Calibri" w:cs="Calibri"/>
          <w:szCs w:val="20"/>
        </w:rPr>
      </w:pPr>
      <w:r w:rsidRPr="0088142B">
        <w:rPr>
          <w:rFonts w:ascii="Calibri" w:hAnsi="Calibri" w:cs="Calibri"/>
          <w:i/>
          <w:iCs/>
          <w:szCs w:val="20"/>
        </w:rPr>
        <w:br w:type="page"/>
      </w:r>
    </w:p>
    <w:p w14:paraId="3A7F6669" w14:textId="77777777" w:rsidR="008C5A9E" w:rsidRPr="0088142B" w:rsidRDefault="008C5A9E" w:rsidP="008C5A9E">
      <w:pPr>
        <w:widowControl/>
        <w:wordWrap/>
        <w:autoSpaceDE/>
        <w:autoSpaceDN/>
        <w:rPr>
          <w:rFonts w:ascii="Calibri" w:hAnsi="Calibri" w:cs="Calibri"/>
          <w:i/>
          <w:iCs/>
          <w:szCs w:val="20"/>
        </w:rPr>
      </w:pPr>
      <w:r w:rsidRPr="0088142B">
        <w:rPr>
          <w:rFonts w:ascii="Calibri" w:hAnsi="Calibri" w:cs="Calibri"/>
          <w:noProof/>
        </w:rPr>
        <w:lastRenderedPageBreak/>
        <w:drawing>
          <wp:inline distT="0" distB="0" distL="0" distR="0" wp14:anchorId="480237FD" wp14:editId="6D43A653">
            <wp:extent cx="5731510" cy="3144981"/>
            <wp:effectExtent l="0" t="0" r="2540" b="0"/>
            <wp:docPr id="1084137989" name="Graphic 6">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137989" name="Graphic 6">
                      <a:extLst>
                        <a:ext uri="{FF2B5EF4-FFF2-40B4-BE49-F238E27FC236}">
                          <a16:creationId xmlns:a16="http://schemas.microsoft.com/office/drawing/2014/main" id="{AD4F1BD5-2A52-584B-A088-43EE8C460F35}"/>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15" t="5605" r="15" b="56413"/>
                    <a:stretch>
                      <a:fillRect/>
                    </a:stretch>
                  </pic:blipFill>
                  <pic:spPr bwMode="auto">
                    <a:xfrm>
                      <a:off x="0" y="0"/>
                      <a:ext cx="5731510" cy="3144981"/>
                    </a:xfrm>
                    <a:prstGeom prst="rect">
                      <a:avLst/>
                    </a:prstGeom>
                    <a:ln>
                      <a:noFill/>
                    </a:ln>
                    <a:extLst>
                      <a:ext uri="{53640926-AAD7-44D8-BBD7-CCE9431645EC}">
                        <a14:shadowObscured xmlns:a14="http://schemas.microsoft.com/office/drawing/2010/main"/>
                      </a:ext>
                    </a:extLst>
                  </pic:spPr>
                </pic:pic>
              </a:graphicData>
            </a:graphic>
          </wp:inline>
        </w:drawing>
      </w:r>
    </w:p>
    <w:p w14:paraId="44889D2A" w14:textId="1EE75825" w:rsidR="008C5A9E" w:rsidRPr="0088142B" w:rsidRDefault="008C5A9E" w:rsidP="008C5A9E">
      <w:pPr>
        <w:pStyle w:val="Caption"/>
        <w:rPr>
          <w:rFonts w:ascii="Calibri" w:hAnsi="Calibri" w:cs="Calibri"/>
          <w:b/>
          <w:bCs/>
          <w:i w:val="0"/>
          <w:iCs w:val="0"/>
          <w:color w:val="auto"/>
          <w:sz w:val="24"/>
          <w:szCs w:val="24"/>
        </w:rPr>
      </w:pPr>
      <w:r w:rsidRPr="0088142B">
        <w:rPr>
          <w:rFonts w:ascii="Calibri" w:hAnsi="Calibri" w:cs="Calibri"/>
          <w:b/>
          <w:bCs/>
          <w:i w:val="0"/>
          <w:iCs w:val="0"/>
          <w:color w:val="auto"/>
          <w:sz w:val="20"/>
          <w:szCs w:val="20"/>
        </w:rPr>
        <w:t>Figure S2.</w:t>
      </w:r>
      <w:r w:rsidRPr="0088142B">
        <w:rPr>
          <w:rFonts w:ascii="Calibri" w:hAnsi="Calibri" w:cs="Calibri"/>
          <w:i w:val="0"/>
          <w:iCs w:val="0"/>
          <w:color w:val="auto"/>
          <w:sz w:val="20"/>
          <w:szCs w:val="20"/>
        </w:rPr>
        <w:t xml:space="preserve"> </w:t>
      </w:r>
      <w:r w:rsidR="0085559D" w:rsidRPr="0088142B">
        <w:rPr>
          <w:rFonts w:ascii="Calibri" w:hAnsi="Calibri" w:cs="Calibri"/>
          <w:i w:val="0"/>
          <w:iCs w:val="0"/>
          <w:color w:val="auto"/>
          <w:sz w:val="20"/>
          <w:szCs w:val="20"/>
        </w:rPr>
        <w:t>pH-dependent dissolution of the fluorescent Au@SiO</w:t>
      </w:r>
      <w:r w:rsidR="0085559D" w:rsidRPr="0088142B">
        <w:rPr>
          <w:rFonts w:ascii="Calibri" w:hAnsi="Calibri" w:cs="Calibri"/>
          <w:i w:val="0"/>
          <w:iCs w:val="0"/>
          <w:color w:val="auto"/>
          <w:sz w:val="20"/>
          <w:szCs w:val="20"/>
          <w:vertAlign w:val="subscript"/>
        </w:rPr>
        <w:t>2</w:t>
      </w:r>
      <w:r w:rsidR="0085559D" w:rsidRPr="0088142B">
        <w:rPr>
          <w:rFonts w:ascii="Calibri" w:hAnsi="Calibri" w:cs="Calibri"/>
          <w:i w:val="0"/>
          <w:iCs w:val="0"/>
          <w:color w:val="auto"/>
          <w:sz w:val="20"/>
          <w:szCs w:val="20"/>
        </w:rPr>
        <w:t xml:space="preserve"> NPs. Particles (20 µg/mL) were incubated at 37°C in buffer solutions at pH 4.5 (acetate buffer), pH 6.5 (phosphate buffer), pH 7.4 (PBS), and pH 8.5 (phosphate buffer) for 6 h and 24 h. TEM images reveal that silica shells remain intact at pH 4.5 and pH 6.5 but undergo dissolution at pH 7.4, with complete shell degradation observed at pH 8.5 within 6 h. This pH-dependent instability demonstrates the vulnerability of conventional silica shells under physiologically relevant pH conditions (pH ≥</w:t>
      </w:r>
      <w:r w:rsidR="00965644" w:rsidRPr="0088142B">
        <w:rPr>
          <w:rFonts w:ascii="Calibri" w:hAnsi="Calibri" w:cs="Calibri"/>
          <w:i w:val="0"/>
          <w:iCs w:val="0"/>
          <w:color w:val="auto"/>
          <w:sz w:val="20"/>
          <w:szCs w:val="20"/>
        </w:rPr>
        <w:t xml:space="preserve"> </w:t>
      </w:r>
      <w:r w:rsidR="0085559D" w:rsidRPr="0088142B">
        <w:rPr>
          <w:rFonts w:ascii="Calibri" w:hAnsi="Calibri" w:cs="Calibri"/>
          <w:i w:val="0"/>
          <w:iCs w:val="0"/>
          <w:color w:val="auto"/>
          <w:sz w:val="20"/>
          <w:szCs w:val="20"/>
        </w:rPr>
        <w:t>7.4). Scale bars: 200 nm.</w:t>
      </w:r>
    </w:p>
    <w:p w14:paraId="385C398C" w14:textId="77777777" w:rsidR="001E13BE" w:rsidRPr="0088142B" w:rsidRDefault="001E13BE" w:rsidP="001E13BE">
      <w:pPr>
        <w:pStyle w:val="Caption"/>
        <w:rPr>
          <w:rFonts w:ascii="Calibri" w:hAnsi="Calibri" w:cs="Calibri"/>
          <w:i w:val="0"/>
          <w:iCs w:val="0"/>
          <w:color w:val="auto"/>
          <w:sz w:val="20"/>
          <w:szCs w:val="20"/>
        </w:rPr>
      </w:pPr>
    </w:p>
    <w:p w14:paraId="29853BEF" w14:textId="5222C5AA" w:rsidR="0043235F" w:rsidRPr="0088142B" w:rsidRDefault="003548D6" w:rsidP="001E13BE">
      <w:pPr>
        <w:widowControl/>
        <w:wordWrap/>
        <w:autoSpaceDE/>
        <w:autoSpaceDN/>
        <w:rPr>
          <w:rFonts w:ascii="Calibri" w:hAnsi="Calibri" w:cs="Calibri"/>
          <w:i/>
          <w:iCs/>
          <w:szCs w:val="20"/>
        </w:rPr>
      </w:pPr>
      <w:r w:rsidRPr="0088142B">
        <w:rPr>
          <w:rFonts w:ascii="Calibri" w:hAnsi="Calibri" w:cs="Calibri"/>
        </w:rPr>
        <w:br w:type="page"/>
      </w:r>
      <w:r w:rsidR="0043235F" w:rsidRPr="0088142B">
        <w:rPr>
          <w:rFonts w:ascii="Calibri" w:hAnsi="Calibri" w:cs="Calibri"/>
          <w:noProof/>
        </w:rPr>
        <w:lastRenderedPageBreak/>
        <w:drawing>
          <wp:inline distT="0" distB="0" distL="0" distR="0" wp14:anchorId="3F6F8002" wp14:editId="75843A74">
            <wp:extent cx="5731510" cy="3764280"/>
            <wp:effectExtent l="0" t="0" r="2540" b="7620"/>
            <wp:docPr id="942815329" name="Graphic 6">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815329" name="Graphic 6">
                      <a:extLst>
                        <a:ext uri="{FF2B5EF4-FFF2-40B4-BE49-F238E27FC236}">
                          <a16:creationId xmlns:a16="http://schemas.microsoft.com/office/drawing/2014/main" id="{AD4F1BD5-2A52-584B-A088-43EE8C460F35}"/>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t="40905" b="13627"/>
                    <a:stretch/>
                  </pic:blipFill>
                  <pic:spPr bwMode="auto">
                    <a:xfrm>
                      <a:off x="0" y="0"/>
                      <a:ext cx="5731510" cy="3764280"/>
                    </a:xfrm>
                    <a:prstGeom prst="rect">
                      <a:avLst/>
                    </a:prstGeom>
                    <a:ln>
                      <a:noFill/>
                    </a:ln>
                    <a:extLst>
                      <a:ext uri="{53640926-AAD7-44D8-BBD7-CCE9431645EC}">
                        <a14:shadowObscured xmlns:a14="http://schemas.microsoft.com/office/drawing/2010/main"/>
                      </a:ext>
                    </a:extLst>
                  </pic:spPr>
                </pic:pic>
              </a:graphicData>
            </a:graphic>
          </wp:inline>
        </w:drawing>
      </w:r>
    </w:p>
    <w:p w14:paraId="25F15D17" w14:textId="4C52D54D" w:rsidR="0043235F" w:rsidRPr="0088142B" w:rsidRDefault="008C747C" w:rsidP="008C747C">
      <w:pPr>
        <w:pStyle w:val="Caption"/>
        <w:rPr>
          <w:rFonts w:ascii="Calibri" w:hAnsi="Calibri" w:cs="Calibri"/>
          <w:b/>
          <w:bCs/>
          <w:i w:val="0"/>
          <w:iCs w:val="0"/>
          <w:color w:val="auto"/>
          <w:sz w:val="24"/>
          <w:szCs w:val="24"/>
        </w:rPr>
      </w:pPr>
      <w:r w:rsidRPr="0088142B">
        <w:rPr>
          <w:rFonts w:ascii="Calibri" w:hAnsi="Calibri" w:cs="Calibri"/>
          <w:b/>
          <w:bCs/>
          <w:i w:val="0"/>
          <w:iCs w:val="0"/>
          <w:color w:val="auto"/>
          <w:sz w:val="20"/>
          <w:szCs w:val="20"/>
        </w:rPr>
        <w:t>Figure S</w:t>
      </w:r>
      <w:r w:rsidR="008C5A9E" w:rsidRPr="0088142B">
        <w:rPr>
          <w:rFonts w:ascii="Calibri" w:hAnsi="Calibri" w:cs="Calibri"/>
          <w:b/>
          <w:bCs/>
          <w:i w:val="0"/>
          <w:iCs w:val="0"/>
          <w:color w:val="auto"/>
          <w:sz w:val="20"/>
          <w:szCs w:val="20"/>
        </w:rPr>
        <w:t>3</w:t>
      </w:r>
      <w:r w:rsidRPr="0088142B">
        <w:rPr>
          <w:rFonts w:ascii="Calibri" w:hAnsi="Calibri" w:cs="Calibri"/>
          <w:b/>
          <w:bCs/>
          <w:i w:val="0"/>
          <w:iCs w:val="0"/>
          <w:color w:val="auto"/>
          <w:sz w:val="20"/>
          <w:szCs w:val="20"/>
        </w:rPr>
        <w:t>.</w:t>
      </w:r>
      <w:r w:rsidRPr="0088142B">
        <w:rPr>
          <w:rFonts w:ascii="Calibri" w:hAnsi="Calibri" w:cs="Calibri"/>
          <w:i w:val="0"/>
          <w:iCs w:val="0"/>
          <w:color w:val="auto"/>
          <w:sz w:val="20"/>
          <w:szCs w:val="20"/>
        </w:rPr>
        <w:t xml:space="preserve"> </w:t>
      </w:r>
      <w:r w:rsidR="00517811" w:rsidRPr="0088142B">
        <w:rPr>
          <w:rFonts w:ascii="Calibri" w:hAnsi="Calibri" w:cs="Calibri"/>
          <w:i w:val="0"/>
          <w:iCs w:val="0"/>
          <w:color w:val="auto"/>
          <w:sz w:val="20"/>
          <w:szCs w:val="20"/>
        </w:rPr>
        <w:t>Dissolution mechanisms of fluorescent Au@SiO</w:t>
      </w:r>
      <w:r w:rsidR="00517811" w:rsidRPr="0088142B">
        <w:rPr>
          <w:rFonts w:ascii="Calibri" w:hAnsi="Calibri" w:cs="Calibri"/>
          <w:i w:val="0"/>
          <w:iCs w:val="0"/>
          <w:color w:val="auto"/>
          <w:sz w:val="20"/>
          <w:szCs w:val="20"/>
          <w:vertAlign w:val="subscript"/>
        </w:rPr>
        <w:t>2</w:t>
      </w:r>
      <w:r w:rsidR="00517811" w:rsidRPr="0088142B">
        <w:rPr>
          <w:rFonts w:ascii="Calibri" w:hAnsi="Calibri" w:cs="Calibri"/>
          <w:i w:val="0"/>
          <w:iCs w:val="0"/>
          <w:color w:val="auto"/>
          <w:sz w:val="20"/>
          <w:szCs w:val="20"/>
        </w:rPr>
        <w:t xml:space="preserve"> NPs in biological media. (a) TEM images of fluorescent Au@SiO</w:t>
      </w:r>
      <w:r w:rsidR="00517811" w:rsidRPr="0088142B">
        <w:rPr>
          <w:rFonts w:ascii="Calibri" w:hAnsi="Calibri" w:cs="Calibri"/>
          <w:i w:val="0"/>
          <w:iCs w:val="0"/>
          <w:color w:val="auto"/>
          <w:sz w:val="20"/>
          <w:szCs w:val="20"/>
          <w:vertAlign w:val="subscript"/>
        </w:rPr>
        <w:t>2</w:t>
      </w:r>
      <w:r w:rsidR="00517811" w:rsidRPr="0088142B">
        <w:rPr>
          <w:rFonts w:ascii="Calibri" w:hAnsi="Calibri" w:cs="Calibri"/>
          <w:i w:val="0"/>
          <w:iCs w:val="0"/>
          <w:color w:val="auto"/>
          <w:sz w:val="20"/>
          <w:szCs w:val="20"/>
        </w:rPr>
        <w:t xml:space="preserve"> NPs (20 μg/mL) at 0 h (left), after 6 h incubation in serum-free RPMI medium (middle), and in complete RPMI medium with 10% FBS (cRPMI, right), showing that shell degradation occurs in both serum-free and serum-containing media. Scale bars: 200 nm. (b) Concentration-dependent stability of fluorescent Au@SiO</w:t>
      </w:r>
      <w:r w:rsidR="00517811" w:rsidRPr="0088142B">
        <w:rPr>
          <w:rFonts w:ascii="Calibri" w:hAnsi="Calibri" w:cs="Calibri"/>
          <w:i w:val="0"/>
          <w:iCs w:val="0"/>
          <w:color w:val="auto"/>
          <w:sz w:val="20"/>
          <w:szCs w:val="20"/>
          <w:vertAlign w:val="subscript"/>
        </w:rPr>
        <w:t>2</w:t>
      </w:r>
      <w:r w:rsidR="00517811" w:rsidRPr="0088142B">
        <w:rPr>
          <w:rFonts w:ascii="Calibri" w:hAnsi="Calibri" w:cs="Calibri"/>
          <w:i w:val="0"/>
          <w:iCs w:val="0"/>
          <w:color w:val="auto"/>
          <w:sz w:val="20"/>
          <w:szCs w:val="20"/>
        </w:rPr>
        <w:t xml:space="preserve"> NPs after 24 h in cRPMI. At low concentrations (50 μg/mL, left), complete shell dissolution occurred. At intermediate concentrations (100 μg/mL, middle), partial shells remained (red arrows). At high concentrations (200 μg/mL, right), core-shell structures were largely preserved, consistent with the silica saturation concentration principle. Scale bars: 200 nm.</w:t>
      </w:r>
    </w:p>
    <w:p w14:paraId="30FD4BCF" w14:textId="77777777" w:rsidR="00C06C41" w:rsidRPr="0088142B" w:rsidRDefault="00C06C41" w:rsidP="00C06C41">
      <w:pPr>
        <w:rPr>
          <w:rFonts w:ascii="Calibri" w:hAnsi="Calibri" w:cs="Calibri"/>
        </w:rPr>
      </w:pPr>
    </w:p>
    <w:p w14:paraId="670FB18E" w14:textId="77777777" w:rsidR="00C06C41" w:rsidRPr="0088142B" w:rsidRDefault="00C06C41" w:rsidP="00C06C41">
      <w:pPr>
        <w:rPr>
          <w:rFonts w:ascii="Calibri" w:hAnsi="Calibri" w:cs="Calibri"/>
        </w:rPr>
      </w:pPr>
    </w:p>
    <w:p w14:paraId="1BFA1706" w14:textId="77777777" w:rsidR="00C06C41" w:rsidRPr="0088142B" w:rsidRDefault="00C06C41" w:rsidP="00C06C41">
      <w:pPr>
        <w:rPr>
          <w:rFonts w:ascii="Calibri" w:hAnsi="Calibri" w:cs="Calibri"/>
        </w:rPr>
      </w:pPr>
    </w:p>
    <w:p w14:paraId="37F57943" w14:textId="77777777" w:rsidR="00C06C41" w:rsidRPr="0088142B" w:rsidRDefault="00C06C41" w:rsidP="00C06C41">
      <w:pPr>
        <w:rPr>
          <w:rFonts w:ascii="Calibri" w:hAnsi="Calibri" w:cs="Calibri"/>
        </w:rPr>
      </w:pPr>
    </w:p>
    <w:p w14:paraId="4A2521AF" w14:textId="77777777" w:rsidR="00C06C41" w:rsidRPr="0088142B" w:rsidRDefault="00C06C41" w:rsidP="00C06C41">
      <w:pPr>
        <w:rPr>
          <w:rFonts w:ascii="Calibri" w:hAnsi="Calibri" w:cs="Calibri"/>
        </w:rPr>
      </w:pPr>
    </w:p>
    <w:p w14:paraId="043FE8B6" w14:textId="77777777" w:rsidR="00C06C41" w:rsidRPr="0088142B" w:rsidRDefault="00C06C41" w:rsidP="00C06C41">
      <w:pPr>
        <w:rPr>
          <w:rFonts w:ascii="Calibri" w:hAnsi="Calibri" w:cs="Calibri"/>
        </w:rPr>
      </w:pPr>
    </w:p>
    <w:p w14:paraId="3684DE1A" w14:textId="77777777" w:rsidR="0043235F" w:rsidRPr="0088142B" w:rsidRDefault="0043235F" w:rsidP="008C747C">
      <w:pPr>
        <w:pStyle w:val="Caption"/>
        <w:rPr>
          <w:rFonts w:ascii="Calibri" w:hAnsi="Calibri" w:cs="Calibri"/>
          <w:b/>
          <w:bCs/>
          <w:i w:val="0"/>
          <w:iCs w:val="0"/>
          <w:color w:val="auto"/>
          <w:sz w:val="24"/>
          <w:szCs w:val="24"/>
        </w:rPr>
      </w:pPr>
    </w:p>
    <w:p w14:paraId="725E0E9B" w14:textId="77777777" w:rsidR="0043235F" w:rsidRPr="0088142B" w:rsidRDefault="0043235F" w:rsidP="008C747C">
      <w:pPr>
        <w:pStyle w:val="Caption"/>
        <w:rPr>
          <w:rFonts w:ascii="Calibri" w:hAnsi="Calibri" w:cs="Calibri"/>
          <w:b/>
          <w:bCs/>
          <w:i w:val="0"/>
          <w:iCs w:val="0"/>
          <w:color w:val="auto"/>
          <w:sz w:val="24"/>
          <w:szCs w:val="24"/>
        </w:rPr>
      </w:pPr>
    </w:p>
    <w:p w14:paraId="04B5D31E" w14:textId="77777777" w:rsidR="0043235F" w:rsidRPr="0088142B" w:rsidRDefault="0043235F" w:rsidP="008C747C">
      <w:pPr>
        <w:pStyle w:val="Caption"/>
        <w:rPr>
          <w:rFonts w:ascii="Calibri" w:hAnsi="Calibri" w:cs="Calibri"/>
          <w:b/>
          <w:bCs/>
          <w:i w:val="0"/>
          <w:iCs w:val="0"/>
          <w:color w:val="auto"/>
          <w:sz w:val="24"/>
          <w:szCs w:val="24"/>
        </w:rPr>
      </w:pPr>
    </w:p>
    <w:p w14:paraId="5BE5574F" w14:textId="77777777" w:rsidR="0043235F" w:rsidRPr="0088142B" w:rsidRDefault="0043235F" w:rsidP="008C747C">
      <w:pPr>
        <w:pStyle w:val="Caption"/>
        <w:rPr>
          <w:rFonts w:ascii="Calibri" w:hAnsi="Calibri" w:cs="Calibri"/>
          <w:b/>
          <w:bCs/>
          <w:i w:val="0"/>
          <w:iCs w:val="0"/>
          <w:color w:val="auto"/>
          <w:sz w:val="24"/>
          <w:szCs w:val="24"/>
        </w:rPr>
      </w:pPr>
    </w:p>
    <w:p w14:paraId="035CA712" w14:textId="77777777" w:rsidR="0043235F" w:rsidRPr="0088142B" w:rsidRDefault="0043235F" w:rsidP="008C747C">
      <w:pPr>
        <w:pStyle w:val="Caption"/>
        <w:rPr>
          <w:rFonts w:ascii="Calibri" w:hAnsi="Calibri" w:cs="Calibri"/>
          <w:b/>
          <w:bCs/>
          <w:i w:val="0"/>
          <w:iCs w:val="0"/>
          <w:color w:val="auto"/>
          <w:sz w:val="24"/>
          <w:szCs w:val="24"/>
        </w:rPr>
      </w:pPr>
    </w:p>
    <w:p w14:paraId="1AD1781B" w14:textId="77777777" w:rsidR="009D4C86" w:rsidRPr="0088142B" w:rsidRDefault="009D4C86" w:rsidP="008C747C">
      <w:pPr>
        <w:pStyle w:val="Caption"/>
        <w:rPr>
          <w:rFonts w:ascii="Calibri" w:hAnsi="Calibri" w:cs="Calibri"/>
          <w:b/>
          <w:bCs/>
          <w:i w:val="0"/>
          <w:iCs w:val="0"/>
          <w:color w:val="auto"/>
          <w:sz w:val="24"/>
          <w:szCs w:val="24"/>
        </w:rPr>
      </w:pPr>
    </w:p>
    <w:p w14:paraId="75BC2731" w14:textId="2F98828A" w:rsidR="008C747C" w:rsidRPr="0088142B" w:rsidRDefault="008C747C" w:rsidP="008C747C">
      <w:pPr>
        <w:pStyle w:val="Caption"/>
        <w:rPr>
          <w:rFonts w:ascii="Calibri" w:hAnsi="Calibri" w:cs="Calibri"/>
          <w:i w:val="0"/>
          <w:iCs w:val="0"/>
          <w:color w:val="auto"/>
          <w:sz w:val="24"/>
          <w:szCs w:val="24"/>
        </w:rPr>
      </w:pPr>
      <w:r w:rsidRPr="0088142B">
        <w:rPr>
          <w:rFonts w:ascii="Calibri" w:hAnsi="Calibri" w:cs="Calibri"/>
          <w:b/>
          <w:bCs/>
          <w:i w:val="0"/>
          <w:iCs w:val="0"/>
          <w:color w:val="auto"/>
          <w:sz w:val="24"/>
          <w:szCs w:val="24"/>
        </w:rPr>
        <w:lastRenderedPageBreak/>
        <w:t>Table S</w:t>
      </w:r>
      <w:r w:rsidR="00735AC5" w:rsidRPr="0088142B">
        <w:rPr>
          <w:rFonts w:ascii="Calibri" w:hAnsi="Calibri" w:cs="Calibri"/>
          <w:b/>
          <w:bCs/>
          <w:i w:val="0"/>
          <w:iCs w:val="0"/>
          <w:color w:val="auto"/>
          <w:sz w:val="24"/>
          <w:szCs w:val="24"/>
        </w:rPr>
        <w:t>1</w:t>
      </w:r>
      <w:r w:rsidRPr="0088142B">
        <w:rPr>
          <w:rFonts w:ascii="Calibri" w:hAnsi="Calibri" w:cs="Calibri"/>
          <w:i w:val="0"/>
          <w:iCs w:val="0"/>
          <w:color w:val="auto"/>
          <w:sz w:val="24"/>
          <w:szCs w:val="24"/>
        </w:rPr>
        <w:t xml:space="preserve">. </w:t>
      </w:r>
      <w:r w:rsidR="0005784A" w:rsidRPr="0088142B">
        <w:rPr>
          <w:rFonts w:ascii="Calibri" w:hAnsi="Calibri" w:cs="Calibri"/>
          <w:i w:val="0"/>
          <w:iCs w:val="0"/>
          <w:color w:val="auto"/>
          <w:sz w:val="24"/>
          <w:szCs w:val="24"/>
        </w:rPr>
        <w:t xml:space="preserve">Hydrodynamic size and zeta potential of fluorescent </w:t>
      </w:r>
      <w:proofErr w:type="spellStart"/>
      <w:r w:rsidR="0005784A" w:rsidRPr="0088142B">
        <w:rPr>
          <w:rFonts w:ascii="Calibri" w:hAnsi="Calibri" w:cs="Calibri"/>
          <w:i w:val="0"/>
          <w:iCs w:val="0"/>
          <w:color w:val="auto"/>
          <w:sz w:val="24"/>
          <w:szCs w:val="24"/>
        </w:rPr>
        <w:t>Au@SiO</w:t>
      </w:r>
      <w:proofErr w:type="spellEnd"/>
      <w:r w:rsidR="0005784A" w:rsidRPr="0088142B">
        <w:rPr>
          <w:rFonts w:ascii="Calibri" w:hAnsi="Calibri" w:cs="Calibri"/>
          <w:i w:val="0"/>
          <w:iCs w:val="0"/>
          <w:color w:val="auto"/>
          <w:sz w:val="24"/>
          <w:szCs w:val="24"/>
        </w:rPr>
        <w:t>₂–Cy5 NPs before and after calcination, measured in water. All samples (10× dilution from the as-synthesized suspension) were centrifuged and resuspended in fresh Milli-Q water for analysis (Milli-Q water at pH ~7.0; measurements performed at 25 °C; n = 3).</w:t>
      </w:r>
    </w:p>
    <w:tbl>
      <w:tblPr>
        <w:tblW w:w="9033" w:type="dxa"/>
        <w:tblCellMar>
          <w:left w:w="0" w:type="dxa"/>
          <w:right w:w="0" w:type="dxa"/>
        </w:tblCellMar>
        <w:tblLook w:val="0420" w:firstRow="1" w:lastRow="0" w:firstColumn="0" w:lastColumn="0" w:noHBand="0" w:noVBand="1"/>
      </w:tblPr>
      <w:tblGrid>
        <w:gridCol w:w="3571"/>
        <w:gridCol w:w="3199"/>
        <w:gridCol w:w="2263"/>
      </w:tblGrid>
      <w:tr w:rsidR="00F8693C" w:rsidRPr="0088142B" w14:paraId="721CFBAF" w14:textId="77777777" w:rsidTr="00F8693C">
        <w:trPr>
          <w:trHeight w:val="84"/>
        </w:trPr>
        <w:tc>
          <w:tcPr>
            <w:tcW w:w="3571" w:type="dxa"/>
            <w:tcBorders>
              <w:top w:val="single" w:sz="8" w:space="0" w:color="000000"/>
              <w:left w:val="nil"/>
              <w:bottom w:val="single" w:sz="8" w:space="0" w:color="000000"/>
              <w:right w:val="nil"/>
            </w:tcBorders>
            <w:tcMar>
              <w:top w:w="72" w:type="dxa"/>
              <w:left w:w="144" w:type="dxa"/>
              <w:bottom w:w="72" w:type="dxa"/>
              <w:right w:w="144" w:type="dxa"/>
            </w:tcMar>
            <w:vAlign w:val="center"/>
            <w:hideMark/>
          </w:tcPr>
          <w:p w14:paraId="395F97AD" w14:textId="77777777"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b/>
                <w:bCs/>
                <w:color w:val="000000" w:themeColor="text1"/>
                <w:kern w:val="24"/>
                <w:sz w:val="24"/>
                <w:szCs w:val="24"/>
              </w:rPr>
              <w:t>Nanoparticle designation</w:t>
            </w:r>
          </w:p>
        </w:tc>
        <w:tc>
          <w:tcPr>
            <w:tcW w:w="3199" w:type="dxa"/>
            <w:tcBorders>
              <w:top w:val="single" w:sz="8" w:space="0" w:color="000000"/>
              <w:left w:val="nil"/>
              <w:bottom w:val="single" w:sz="8" w:space="0" w:color="000000"/>
              <w:right w:val="nil"/>
            </w:tcBorders>
            <w:tcMar>
              <w:top w:w="72" w:type="dxa"/>
              <w:left w:w="144" w:type="dxa"/>
              <w:bottom w:w="72" w:type="dxa"/>
              <w:right w:w="144" w:type="dxa"/>
            </w:tcMar>
            <w:vAlign w:val="center"/>
            <w:hideMark/>
          </w:tcPr>
          <w:p w14:paraId="234AA4B0" w14:textId="77777777"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b/>
                <w:bCs/>
                <w:color w:val="000000" w:themeColor="text1"/>
                <w:kern w:val="24"/>
                <w:sz w:val="24"/>
                <w:szCs w:val="24"/>
              </w:rPr>
              <w:t>Hydrodynamic diameter (nm)</w:t>
            </w:r>
          </w:p>
        </w:tc>
        <w:tc>
          <w:tcPr>
            <w:tcW w:w="2263" w:type="dxa"/>
            <w:tcBorders>
              <w:top w:val="single" w:sz="8" w:space="0" w:color="000000"/>
              <w:left w:val="nil"/>
              <w:bottom w:val="single" w:sz="8" w:space="0" w:color="000000"/>
              <w:right w:val="nil"/>
            </w:tcBorders>
            <w:tcMar>
              <w:top w:w="72" w:type="dxa"/>
              <w:left w:w="144" w:type="dxa"/>
              <w:bottom w:w="72" w:type="dxa"/>
              <w:right w:w="144" w:type="dxa"/>
            </w:tcMar>
            <w:vAlign w:val="center"/>
            <w:hideMark/>
          </w:tcPr>
          <w:p w14:paraId="019CA971" w14:textId="68342537"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b/>
                <w:bCs/>
                <w:color w:val="000000" w:themeColor="text1"/>
                <w:kern w:val="24"/>
                <w:sz w:val="24"/>
                <w:szCs w:val="24"/>
              </w:rPr>
              <w:t>Zeta-potential (mV)</w:t>
            </w:r>
          </w:p>
        </w:tc>
      </w:tr>
      <w:tr w:rsidR="00F8693C" w:rsidRPr="0088142B" w14:paraId="13858BC7" w14:textId="77777777" w:rsidTr="00F8693C">
        <w:trPr>
          <w:trHeight w:val="84"/>
        </w:trPr>
        <w:tc>
          <w:tcPr>
            <w:tcW w:w="3571" w:type="dxa"/>
            <w:tcBorders>
              <w:top w:val="single" w:sz="8" w:space="0" w:color="000000"/>
              <w:left w:val="nil"/>
              <w:bottom w:val="nil"/>
              <w:right w:val="nil"/>
            </w:tcBorders>
            <w:tcMar>
              <w:top w:w="72" w:type="dxa"/>
              <w:left w:w="144" w:type="dxa"/>
              <w:bottom w:w="72" w:type="dxa"/>
              <w:right w:w="144" w:type="dxa"/>
            </w:tcMar>
            <w:vAlign w:val="center"/>
            <w:hideMark/>
          </w:tcPr>
          <w:p w14:paraId="5CF06C26" w14:textId="79DE553C" w:rsidR="008C747C" w:rsidRPr="0088142B" w:rsidRDefault="009D3802"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color w:val="000000" w:themeColor="text1"/>
                <w:kern w:val="24"/>
                <w:sz w:val="24"/>
                <w:szCs w:val="24"/>
              </w:rPr>
              <w:t xml:space="preserve">Fluorescent </w:t>
            </w:r>
            <w:proofErr w:type="spellStart"/>
            <w:r w:rsidR="008C747C" w:rsidRPr="0088142B">
              <w:rPr>
                <w:rFonts w:ascii="Calibri" w:eastAsia="Times New Roman" w:hAnsi="Calibri" w:cs="Calibri"/>
                <w:color w:val="000000" w:themeColor="text1"/>
                <w:kern w:val="24"/>
                <w:sz w:val="24"/>
                <w:szCs w:val="24"/>
              </w:rPr>
              <w:t>Au@SiO</w:t>
            </w:r>
            <w:proofErr w:type="spellEnd"/>
            <w:r w:rsidR="008C747C" w:rsidRPr="0088142B">
              <w:rPr>
                <w:rFonts w:ascii="Calibri" w:eastAsia="Times New Roman" w:hAnsi="Calibri" w:cs="Calibri"/>
                <w:color w:val="000000" w:themeColor="text1"/>
                <w:kern w:val="24"/>
                <w:position w:val="-6"/>
                <w:sz w:val="24"/>
                <w:szCs w:val="24"/>
                <w:vertAlign w:val="subscript"/>
              </w:rPr>
              <w:t>2</w:t>
            </w:r>
            <w:r w:rsidR="008C747C" w:rsidRPr="0088142B">
              <w:rPr>
                <w:rFonts w:ascii="Calibri" w:eastAsia="Times New Roman" w:hAnsi="Calibri" w:cs="Calibri"/>
                <w:color w:val="000000" w:themeColor="text1"/>
                <w:kern w:val="24"/>
                <w:sz w:val="24"/>
                <w:szCs w:val="24"/>
              </w:rPr>
              <w:t>-</w:t>
            </w:r>
            <w:r w:rsidRPr="0088142B">
              <w:rPr>
                <w:rFonts w:ascii="Calibri" w:eastAsia="Times New Roman" w:hAnsi="Calibri" w:cs="Calibri"/>
                <w:color w:val="000000" w:themeColor="text1"/>
                <w:kern w:val="24"/>
                <w:sz w:val="24"/>
                <w:szCs w:val="24"/>
              </w:rPr>
              <w:t>NPs</w:t>
            </w:r>
          </w:p>
        </w:tc>
        <w:tc>
          <w:tcPr>
            <w:tcW w:w="3199" w:type="dxa"/>
            <w:tcBorders>
              <w:top w:val="single" w:sz="8" w:space="0" w:color="000000"/>
              <w:left w:val="nil"/>
              <w:bottom w:val="nil"/>
              <w:right w:val="nil"/>
            </w:tcBorders>
            <w:tcMar>
              <w:top w:w="72" w:type="dxa"/>
              <w:left w:w="144" w:type="dxa"/>
              <w:bottom w:w="72" w:type="dxa"/>
              <w:right w:w="144" w:type="dxa"/>
            </w:tcMar>
            <w:vAlign w:val="center"/>
            <w:hideMark/>
          </w:tcPr>
          <w:p w14:paraId="0E71D1B0" w14:textId="6A6AC3D1"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hAnsi="Calibri" w:cs="Calibri"/>
                <w:color w:val="000000"/>
                <w:kern w:val="24"/>
                <w:sz w:val="24"/>
                <w:szCs w:val="24"/>
                <w:lang w:val="fr-CH"/>
              </w:rPr>
              <w:t>260</w:t>
            </w:r>
            <w:r w:rsidR="00D749D8" w:rsidRPr="0088142B">
              <w:rPr>
                <w:rFonts w:ascii="Calibri" w:hAnsi="Calibri" w:cs="Calibri"/>
                <w:color w:val="000000"/>
                <w:kern w:val="24"/>
                <w:sz w:val="24"/>
                <w:szCs w:val="24"/>
                <w:lang w:val="fr-CH"/>
              </w:rPr>
              <w:t>.3</w:t>
            </w:r>
            <w:r w:rsidRPr="0088142B">
              <w:rPr>
                <w:rFonts w:ascii="Calibri" w:hAnsi="Calibri" w:cs="Calibri"/>
                <w:color w:val="000000"/>
                <w:kern w:val="24"/>
                <w:sz w:val="24"/>
                <w:szCs w:val="24"/>
                <w:lang w:val="fr-CH"/>
              </w:rPr>
              <w:t xml:space="preserve"> ± 1.</w:t>
            </w:r>
            <w:r w:rsidR="003054FC" w:rsidRPr="0088142B">
              <w:rPr>
                <w:rFonts w:ascii="Calibri" w:hAnsi="Calibri" w:cs="Calibri"/>
                <w:color w:val="000000"/>
                <w:kern w:val="24"/>
                <w:sz w:val="24"/>
                <w:szCs w:val="24"/>
                <w:lang w:val="fr-CH"/>
              </w:rPr>
              <w:t>0</w:t>
            </w:r>
          </w:p>
        </w:tc>
        <w:tc>
          <w:tcPr>
            <w:tcW w:w="2263" w:type="dxa"/>
            <w:tcBorders>
              <w:top w:val="single" w:sz="8" w:space="0" w:color="000000"/>
              <w:left w:val="nil"/>
              <w:bottom w:val="nil"/>
              <w:right w:val="nil"/>
            </w:tcBorders>
            <w:tcMar>
              <w:top w:w="72" w:type="dxa"/>
              <w:left w:w="144" w:type="dxa"/>
              <w:bottom w:w="72" w:type="dxa"/>
              <w:right w:w="144" w:type="dxa"/>
            </w:tcMar>
            <w:vAlign w:val="center"/>
            <w:hideMark/>
          </w:tcPr>
          <w:p w14:paraId="3F860549" w14:textId="1D3D50A5"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color w:val="000000" w:themeColor="text1"/>
                <w:kern w:val="24"/>
                <w:sz w:val="24"/>
                <w:szCs w:val="24"/>
                <w:lang w:val="fr-CH"/>
              </w:rPr>
              <w:t>-</w:t>
            </w:r>
            <w:r w:rsidR="00E05218" w:rsidRPr="0088142B">
              <w:rPr>
                <w:rFonts w:ascii="Calibri" w:eastAsia="Times New Roman" w:hAnsi="Calibri" w:cs="Calibri"/>
                <w:color w:val="000000" w:themeColor="text1"/>
                <w:kern w:val="24"/>
                <w:sz w:val="24"/>
                <w:szCs w:val="24"/>
                <w:lang w:val="fr-CH"/>
              </w:rPr>
              <w:t>49.6</w:t>
            </w:r>
            <w:r w:rsidRPr="0088142B">
              <w:rPr>
                <w:rFonts w:ascii="Calibri" w:eastAsia="Times New Roman" w:hAnsi="Calibri" w:cs="Calibri"/>
                <w:color w:val="000000" w:themeColor="text1"/>
                <w:kern w:val="24"/>
                <w:sz w:val="24"/>
                <w:szCs w:val="24"/>
                <w:lang w:val="fr-CH"/>
              </w:rPr>
              <w:t xml:space="preserve"> ± 0.2</w:t>
            </w:r>
          </w:p>
        </w:tc>
      </w:tr>
      <w:tr w:rsidR="00F8693C" w:rsidRPr="0088142B" w14:paraId="2F95FCA3" w14:textId="77777777" w:rsidTr="00F8693C">
        <w:trPr>
          <w:trHeight w:val="84"/>
        </w:trPr>
        <w:tc>
          <w:tcPr>
            <w:tcW w:w="3571" w:type="dxa"/>
            <w:tcBorders>
              <w:top w:val="nil"/>
              <w:left w:val="nil"/>
              <w:bottom w:val="nil"/>
              <w:right w:val="nil"/>
            </w:tcBorders>
            <w:tcMar>
              <w:top w:w="72" w:type="dxa"/>
              <w:left w:w="144" w:type="dxa"/>
              <w:bottom w:w="72" w:type="dxa"/>
              <w:right w:w="144" w:type="dxa"/>
            </w:tcMar>
            <w:vAlign w:val="center"/>
            <w:hideMark/>
          </w:tcPr>
          <w:p w14:paraId="055004FF" w14:textId="65B82261" w:rsidR="008C747C" w:rsidRPr="0088142B" w:rsidRDefault="002E08E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color w:val="000000" w:themeColor="text1"/>
                <w:kern w:val="24"/>
                <w:sz w:val="24"/>
                <w:szCs w:val="24"/>
              </w:rPr>
              <w:t xml:space="preserve">Fluorescent </w:t>
            </w:r>
            <w:proofErr w:type="spellStart"/>
            <w:r w:rsidRPr="0088142B">
              <w:rPr>
                <w:rFonts w:ascii="Calibri" w:eastAsia="Times New Roman" w:hAnsi="Calibri" w:cs="Calibri"/>
                <w:color w:val="000000" w:themeColor="text1"/>
                <w:kern w:val="24"/>
                <w:sz w:val="24"/>
                <w:szCs w:val="24"/>
              </w:rPr>
              <w:t>Au@SiO</w:t>
            </w:r>
            <w:proofErr w:type="spellEnd"/>
            <w:r w:rsidRPr="0088142B">
              <w:rPr>
                <w:rFonts w:ascii="Calibri" w:eastAsia="Times New Roman" w:hAnsi="Calibri" w:cs="Calibri"/>
                <w:color w:val="000000" w:themeColor="text1"/>
                <w:kern w:val="24"/>
                <w:position w:val="-6"/>
                <w:sz w:val="24"/>
                <w:szCs w:val="24"/>
                <w:vertAlign w:val="subscript"/>
              </w:rPr>
              <w:t>2</w:t>
            </w:r>
            <w:r w:rsidRPr="0088142B">
              <w:rPr>
                <w:rFonts w:ascii="Calibri" w:eastAsia="Times New Roman" w:hAnsi="Calibri" w:cs="Calibri"/>
                <w:color w:val="000000" w:themeColor="text1"/>
                <w:kern w:val="24"/>
                <w:sz w:val="24"/>
                <w:szCs w:val="24"/>
              </w:rPr>
              <w:t>-NPs</w:t>
            </w:r>
          </w:p>
          <w:p w14:paraId="69DC6AD9" w14:textId="25397DD5"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color w:val="000000" w:themeColor="text1"/>
                <w:kern w:val="24"/>
                <w:sz w:val="24"/>
                <w:szCs w:val="24"/>
              </w:rPr>
              <w:t>(After Liquid phase</w:t>
            </w:r>
            <w:r w:rsidR="00F8693C" w:rsidRPr="0088142B">
              <w:rPr>
                <w:rFonts w:ascii="Calibri" w:eastAsia="Times New Roman" w:hAnsi="Calibri" w:cs="Calibri"/>
                <w:color w:val="000000" w:themeColor="text1"/>
                <w:kern w:val="24"/>
                <w:sz w:val="24"/>
                <w:szCs w:val="24"/>
              </w:rPr>
              <w:t xml:space="preserve"> </w:t>
            </w:r>
            <w:r w:rsidRPr="0088142B">
              <w:rPr>
                <w:rFonts w:ascii="Calibri" w:eastAsia="Times New Roman" w:hAnsi="Calibri" w:cs="Calibri"/>
                <w:color w:val="000000" w:themeColor="text1"/>
                <w:kern w:val="24"/>
                <w:sz w:val="24"/>
                <w:szCs w:val="24"/>
              </w:rPr>
              <w:t>calcination)</w:t>
            </w:r>
          </w:p>
        </w:tc>
        <w:tc>
          <w:tcPr>
            <w:tcW w:w="3199" w:type="dxa"/>
            <w:tcBorders>
              <w:top w:val="nil"/>
              <w:left w:val="nil"/>
              <w:bottom w:val="nil"/>
              <w:right w:val="nil"/>
            </w:tcBorders>
            <w:tcMar>
              <w:top w:w="72" w:type="dxa"/>
              <w:left w:w="144" w:type="dxa"/>
              <w:bottom w:w="72" w:type="dxa"/>
              <w:right w:w="144" w:type="dxa"/>
            </w:tcMar>
            <w:vAlign w:val="center"/>
            <w:hideMark/>
          </w:tcPr>
          <w:p w14:paraId="47FBFA39" w14:textId="0657D32B"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hAnsi="Calibri" w:cs="Calibri"/>
                <w:color w:val="000000"/>
                <w:kern w:val="24"/>
                <w:sz w:val="24"/>
                <w:szCs w:val="24"/>
                <w:lang w:val="fr-CH"/>
              </w:rPr>
              <w:t>277</w:t>
            </w:r>
            <w:r w:rsidR="00E05218" w:rsidRPr="0088142B">
              <w:rPr>
                <w:rFonts w:ascii="Calibri" w:hAnsi="Calibri" w:cs="Calibri"/>
                <w:color w:val="000000"/>
                <w:kern w:val="24"/>
                <w:sz w:val="24"/>
                <w:szCs w:val="24"/>
                <w:lang w:val="fr-CH"/>
              </w:rPr>
              <w:t>.0</w:t>
            </w:r>
            <w:r w:rsidRPr="0088142B">
              <w:rPr>
                <w:rFonts w:ascii="Calibri" w:hAnsi="Calibri" w:cs="Calibri"/>
                <w:color w:val="000000"/>
                <w:kern w:val="24"/>
                <w:sz w:val="24"/>
                <w:szCs w:val="24"/>
                <w:lang w:val="fr-CH"/>
              </w:rPr>
              <w:t xml:space="preserve"> ± 7.</w:t>
            </w:r>
            <w:r w:rsidR="003054FC" w:rsidRPr="0088142B">
              <w:rPr>
                <w:rFonts w:ascii="Calibri" w:hAnsi="Calibri" w:cs="Calibri"/>
                <w:color w:val="000000"/>
                <w:kern w:val="24"/>
                <w:sz w:val="24"/>
                <w:szCs w:val="24"/>
                <w:lang w:val="fr-CH"/>
              </w:rPr>
              <w:t>4</w:t>
            </w:r>
          </w:p>
        </w:tc>
        <w:tc>
          <w:tcPr>
            <w:tcW w:w="2263" w:type="dxa"/>
            <w:tcBorders>
              <w:top w:val="nil"/>
              <w:left w:val="nil"/>
              <w:bottom w:val="nil"/>
              <w:right w:val="nil"/>
            </w:tcBorders>
            <w:tcMar>
              <w:top w:w="72" w:type="dxa"/>
              <w:left w:w="144" w:type="dxa"/>
              <w:bottom w:w="72" w:type="dxa"/>
              <w:right w:w="144" w:type="dxa"/>
            </w:tcMar>
            <w:vAlign w:val="center"/>
            <w:hideMark/>
          </w:tcPr>
          <w:p w14:paraId="28BB2C0F" w14:textId="39ED15B8"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color w:val="000000" w:themeColor="text1"/>
                <w:kern w:val="24"/>
                <w:sz w:val="24"/>
                <w:szCs w:val="24"/>
                <w:lang w:val="fr-CH"/>
              </w:rPr>
              <w:t>-</w:t>
            </w:r>
            <w:r w:rsidR="00E05218" w:rsidRPr="0088142B">
              <w:rPr>
                <w:rFonts w:ascii="Calibri" w:eastAsia="Times New Roman" w:hAnsi="Calibri" w:cs="Calibri"/>
                <w:color w:val="000000" w:themeColor="text1"/>
                <w:kern w:val="24"/>
                <w:sz w:val="24"/>
                <w:szCs w:val="24"/>
                <w:lang w:val="fr-CH"/>
              </w:rPr>
              <w:t>39.6</w:t>
            </w:r>
            <w:r w:rsidRPr="0088142B">
              <w:rPr>
                <w:rFonts w:ascii="Calibri" w:eastAsia="Times New Roman" w:hAnsi="Calibri" w:cs="Calibri"/>
                <w:color w:val="000000" w:themeColor="text1"/>
                <w:kern w:val="24"/>
                <w:sz w:val="24"/>
                <w:szCs w:val="24"/>
                <w:lang w:val="fr-CH"/>
              </w:rPr>
              <w:t xml:space="preserve"> ± 0.</w:t>
            </w:r>
            <w:r w:rsidR="003054FC" w:rsidRPr="0088142B">
              <w:rPr>
                <w:rFonts w:ascii="Calibri" w:eastAsia="Times New Roman" w:hAnsi="Calibri" w:cs="Calibri"/>
                <w:color w:val="000000" w:themeColor="text1"/>
                <w:kern w:val="24"/>
                <w:sz w:val="24"/>
                <w:szCs w:val="24"/>
                <w:lang w:val="fr-CH"/>
              </w:rPr>
              <w:t>6</w:t>
            </w:r>
          </w:p>
        </w:tc>
      </w:tr>
      <w:tr w:rsidR="00F8693C" w:rsidRPr="0088142B" w14:paraId="59D0064B" w14:textId="77777777" w:rsidTr="00F8693C">
        <w:trPr>
          <w:trHeight w:val="84"/>
        </w:trPr>
        <w:tc>
          <w:tcPr>
            <w:tcW w:w="3571" w:type="dxa"/>
            <w:tcBorders>
              <w:top w:val="nil"/>
              <w:left w:val="nil"/>
              <w:bottom w:val="nil"/>
              <w:right w:val="nil"/>
            </w:tcBorders>
            <w:tcMar>
              <w:top w:w="72" w:type="dxa"/>
              <w:left w:w="144" w:type="dxa"/>
              <w:bottom w:w="72" w:type="dxa"/>
              <w:right w:w="144" w:type="dxa"/>
            </w:tcMar>
            <w:vAlign w:val="center"/>
            <w:hideMark/>
          </w:tcPr>
          <w:p w14:paraId="2809D41B" w14:textId="77777777"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proofErr w:type="spellStart"/>
            <w:r w:rsidRPr="0088142B">
              <w:rPr>
                <w:rFonts w:ascii="Calibri" w:eastAsia="Times New Roman" w:hAnsi="Calibri" w:cs="Calibri"/>
                <w:color w:val="000000" w:themeColor="text1"/>
                <w:kern w:val="24"/>
                <w:sz w:val="24"/>
                <w:szCs w:val="24"/>
              </w:rPr>
              <w:t>Au@SiO</w:t>
            </w:r>
            <w:proofErr w:type="spellEnd"/>
            <w:r w:rsidRPr="0088142B">
              <w:rPr>
                <w:rFonts w:ascii="Calibri" w:eastAsia="Times New Roman" w:hAnsi="Calibri" w:cs="Calibri"/>
                <w:color w:val="000000" w:themeColor="text1"/>
                <w:kern w:val="24"/>
                <w:position w:val="-6"/>
                <w:sz w:val="24"/>
                <w:szCs w:val="24"/>
                <w:vertAlign w:val="subscript"/>
              </w:rPr>
              <w:t>2</w:t>
            </w:r>
            <w:r w:rsidRPr="0088142B">
              <w:rPr>
                <w:rFonts w:ascii="Calibri" w:eastAsia="Times New Roman" w:hAnsi="Calibri" w:cs="Calibri"/>
                <w:color w:val="000000" w:themeColor="text1"/>
                <w:kern w:val="24"/>
                <w:sz w:val="24"/>
                <w:szCs w:val="24"/>
              </w:rPr>
              <w:t xml:space="preserve"> NPs</w:t>
            </w:r>
          </w:p>
          <w:p w14:paraId="1C1ACFF3" w14:textId="77777777"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color w:val="000000" w:themeColor="text1"/>
                <w:kern w:val="24"/>
                <w:sz w:val="24"/>
                <w:szCs w:val="24"/>
              </w:rPr>
              <w:t>(After Solid phase calcination)</w:t>
            </w:r>
          </w:p>
        </w:tc>
        <w:tc>
          <w:tcPr>
            <w:tcW w:w="3199" w:type="dxa"/>
            <w:tcBorders>
              <w:top w:val="nil"/>
              <w:left w:val="nil"/>
              <w:bottom w:val="nil"/>
              <w:right w:val="nil"/>
            </w:tcBorders>
            <w:tcMar>
              <w:top w:w="72" w:type="dxa"/>
              <w:left w:w="144" w:type="dxa"/>
              <w:bottom w:w="72" w:type="dxa"/>
              <w:right w:w="144" w:type="dxa"/>
            </w:tcMar>
            <w:vAlign w:val="center"/>
            <w:hideMark/>
          </w:tcPr>
          <w:p w14:paraId="4BA86356" w14:textId="073EACC2"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hAnsi="Calibri" w:cs="Calibri"/>
                <w:color w:val="000000" w:themeColor="text1"/>
                <w:kern w:val="24"/>
                <w:sz w:val="24"/>
                <w:szCs w:val="24"/>
                <w:lang w:val="fr-CH"/>
              </w:rPr>
              <w:t>189</w:t>
            </w:r>
            <w:r w:rsidR="00E05218" w:rsidRPr="0088142B">
              <w:rPr>
                <w:rFonts w:ascii="Calibri" w:hAnsi="Calibri" w:cs="Calibri"/>
                <w:color w:val="000000" w:themeColor="text1"/>
                <w:kern w:val="24"/>
                <w:sz w:val="24"/>
                <w:szCs w:val="24"/>
                <w:lang w:val="fr-CH"/>
              </w:rPr>
              <w:t>.3</w:t>
            </w:r>
            <w:r w:rsidRPr="0088142B">
              <w:rPr>
                <w:rFonts w:ascii="Calibri" w:hAnsi="Calibri" w:cs="Calibri"/>
                <w:color w:val="000000" w:themeColor="text1"/>
                <w:kern w:val="24"/>
                <w:sz w:val="24"/>
                <w:szCs w:val="24"/>
                <w:lang w:val="fr-CH"/>
              </w:rPr>
              <w:t xml:space="preserve"> ± 1.6</w:t>
            </w:r>
          </w:p>
        </w:tc>
        <w:tc>
          <w:tcPr>
            <w:tcW w:w="2263" w:type="dxa"/>
            <w:tcBorders>
              <w:top w:val="nil"/>
              <w:left w:val="nil"/>
              <w:bottom w:val="nil"/>
              <w:right w:val="nil"/>
            </w:tcBorders>
            <w:tcMar>
              <w:top w:w="72" w:type="dxa"/>
              <w:left w:w="144" w:type="dxa"/>
              <w:bottom w:w="72" w:type="dxa"/>
              <w:right w:w="144" w:type="dxa"/>
            </w:tcMar>
            <w:vAlign w:val="center"/>
            <w:hideMark/>
          </w:tcPr>
          <w:p w14:paraId="15F7ADB7" w14:textId="08E914A5"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b/>
                <w:bCs/>
                <w:color w:val="000000" w:themeColor="text1"/>
                <w:kern w:val="24"/>
                <w:sz w:val="24"/>
                <w:szCs w:val="24"/>
                <w:lang w:val="fr-CH"/>
              </w:rPr>
              <w:t>-</w:t>
            </w:r>
            <w:r w:rsidR="00E05218" w:rsidRPr="0088142B">
              <w:rPr>
                <w:rFonts w:ascii="Calibri" w:eastAsia="Times New Roman" w:hAnsi="Calibri" w:cs="Calibri"/>
                <w:color w:val="000000" w:themeColor="text1"/>
                <w:kern w:val="24"/>
                <w:sz w:val="24"/>
                <w:szCs w:val="24"/>
                <w:lang w:val="fr-CH"/>
              </w:rPr>
              <w:t>29.7</w:t>
            </w:r>
            <w:r w:rsidRPr="0088142B">
              <w:rPr>
                <w:rFonts w:ascii="Calibri" w:eastAsia="Times New Roman" w:hAnsi="Calibri" w:cs="Calibri"/>
                <w:b/>
                <w:bCs/>
                <w:color w:val="000000" w:themeColor="text1"/>
                <w:kern w:val="24"/>
                <w:sz w:val="24"/>
                <w:szCs w:val="24"/>
                <w:lang w:val="fr-CH"/>
              </w:rPr>
              <w:t xml:space="preserve"> </w:t>
            </w:r>
            <w:r w:rsidRPr="0088142B">
              <w:rPr>
                <w:rFonts w:ascii="Calibri" w:eastAsia="Times New Roman" w:hAnsi="Calibri" w:cs="Calibri"/>
                <w:color w:val="000000" w:themeColor="text1"/>
                <w:kern w:val="24"/>
                <w:sz w:val="24"/>
                <w:szCs w:val="24"/>
                <w:lang w:val="fr-CH"/>
              </w:rPr>
              <w:t xml:space="preserve">± </w:t>
            </w:r>
            <w:r w:rsidR="003054FC" w:rsidRPr="0088142B">
              <w:rPr>
                <w:rFonts w:ascii="Calibri" w:eastAsia="Times New Roman" w:hAnsi="Calibri" w:cs="Calibri"/>
                <w:color w:val="000000" w:themeColor="text1"/>
                <w:kern w:val="24"/>
                <w:sz w:val="24"/>
                <w:szCs w:val="24"/>
                <w:lang w:val="fr-CH"/>
              </w:rPr>
              <w:t>1.0</w:t>
            </w:r>
          </w:p>
        </w:tc>
      </w:tr>
      <w:tr w:rsidR="00F8693C" w:rsidRPr="0088142B" w14:paraId="0059E12C" w14:textId="77777777" w:rsidTr="00F8693C">
        <w:trPr>
          <w:trHeight w:val="84"/>
        </w:trPr>
        <w:tc>
          <w:tcPr>
            <w:tcW w:w="3571" w:type="dxa"/>
            <w:tcBorders>
              <w:top w:val="nil"/>
              <w:left w:val="nil"/>
              <w:bottom w:val="single" w:sz="8" w:space="0" w:color="000000"/>
              <w:right w:val="nil"/>
            </w:tcBorders>
            <w:tcMar>
              <w:top w:w="72" w:type="dxa"/>
              <w:left w:w="144" w:type="dxa"/>
              <w:bottom w:w="72" w:type="dxa"/>
              <w:right w:w="144" w:type="dxa"/>
            </w:tcMar>
            <w:vAlign w:val="center"/>
            <w:hideMark/>
          </w:tcPr>
          <w:p w14:paraId="1C8E49A9" w14:textId="77777777"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proofErr w:type="spellStart"/>
            <w:r w:rsidRPr="0088142B">
              <w:rPr>
                <w:rFonts w:ascii="Calibri" w:eastAsia="Times New Roman" w:hAnsi="Calibri" w:cs="Calibri"/>
                <w:color w:val="000000" w:themeColor="text1"/>
                <w:kern w:val="24"/>
                <w:sz w:val="24"/>
                <w:szCs w:val="24"/>
              </w:rPr>
              <w:t>Au@SiO</w:t>
            </w:r>
            <w:proofErr w:type="spellEnd"/>
            <w:r w:rsidRPr="0088142B">
              <w:rPr>
                <w:rFonts w:ascii="Calibri" w:eastAsia="Times New Roman" w:hAnsi="Calibri" w:cs="Calibri"/>
                <w:color w:val="000000" w:themeColor="text1"/>
                <w:kern w:val="24"/>
                <w:position w:val="-6"/>
                <w:sz w:val="24"/>
                <w:szCs w:val="24"/>
                <w:vertAlign w:val="subscript"/>
              </w:rPr>
              <w:t>2</w:t>
            </w:r>
            <w:r w:rsidRPr="0088142B">
              <w:rPr>
                <w:rFonts w:ascii="Calibri" w:eastAsia="Times New Roman" w:hAnsi="Calibri" w:cs="Calibri"/>
                <w:color w:val="000000" w:themeColor="text1"/>
                <w:kern w:val="24"/>
                <w:sz w:val="24"/>
                <w:szCs w:val="24"/>
              </w:rPr>
              <w:t>-Cy5 NPs</w:t>
            </w:r>
          </w:p>
          <w:p w14:paraId="19AC86C7" w14:textId="77777777"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color w:val="000000" w:themeColor="text1"/>
                <w:kern w:val="24"/>
                <w:sz w:val="24"/>
                <w:szCs w:val="24"/>
              </w:rPr>
              <w:t>(After attachment of Cy5)</w:t>
            </w:r>
          </w:p>
        </w:tc>
        <w:tc>
          <w:tcPr>
            <w:tcW w:w="3199" w:type="dxa"/>
            <w:tcBorders>
              <w:top w:val="nil"/>
              <w:left w:val="nil"/>
              <w:bottom w:val="single" w:sz="8" w:space="0" w:color="000000"/>
              <w:right w:val="nil"/>
            </w:tcBorders>
            <w:tcMar>
              <w:top w:w="72" w:type="dxa"/>
              <w:left w:w="144" w:type="dxa"/>
              <w:bottom w:w="72" w:type="dxa"/>
              <w:right w:w="144" w:type="dxa"/>
            </w:tcMar>
            <w:vAlign w:val="center"/>
            <w:hideMark/>
          </w:tcPr>
          <w:p w14:paraId="0ABB447B" w14:textId="6D7595D7" w:rsidR="008C747C" w:rsidRPr="0088142B" w:rsidRDefault="008C747C"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hAnsi="Calibri" w:cs="Calibri"/>
                <w:color w:val="000000" w:themeColor="text1"/>
                <w:kern w:val="24"/>
                <w:sz w:val="24"/>
                <w:szCs w:val="24"/>
                <w:lang w:val="fr-CH"/>
              </w:rPr>
              <w:t>24</w:t>
            </w:r>
            <w:r w:rsidR="00E05218" w:rsidRPr="0088142B">
              <w:rPr>
                <w:rFonts w:ascii="Calibri" w:hAnsi="Calibri" w:cs="Calibri"/>
                <w:color w:val="000000" w:themeColor="text1"/>
                <w:kern w:val="24"/>
                <w:sz w:val="24"/>
                <w:szCs w:val="24"/>
                <w:lang w:val="fr-CH"/>
              </w:rPr>
              <w:t>4.5</w:t>
            </w:r>
            <w:r w:rsidRPr="0088142B">
              <w:rPr>
                <w:rFonts w:ascii="Calibri" w:hAnsi="Calibri" w:cs="Calibri"/>
                <w:color w:val="000000" w:themeColor="text1"/>
                <w:kern w:val="24"/>
                <w:sz w:val="24"/>
                <w:szCs w:val="24"/>
                <w:lang w:val="fr-CH"/>
              </w:rPr>
              <w:t xml:space="preserve"> ± 5.7</w:t>
            </w:r>
          </w:p>
        </w:tc>
        <w:tc>
          <w:tcPr>
            <w:tcW w:w="2263" w:type="dxa"/>
            <w:tcBorders>
              <w:top w:val="nil"/>
              <w:left w:val="nil"/>
              <w:bottom w:val="single" w:sz="8" w:space="0" w:color="000000"/>
              <w:right w:val="nil"/>
            </w:tcBorders>
            <w:tcMar>
              <w:top w:w="72" w:type="dxa"/>
              <w:left w:w="144" w:type="dxa"/>
              <w:bottom w:w="72" w:type="dxa"/>
              <w:right w:w="144" w:type="dxa"/>
            </w:tcMar>
            <w:vAlign w:val="center"/>
            <w:hideMark/>
          </w:tcPr>
          <w:p w14:paraId="4D3EE166" w14:textId="3E831973" w:rsidR="008C747C" w:rsidRPr="0088142B" w:rsidRDefault="00E05218" w:rsidP="008C747C">
            <w:pPr>
              <w:widowControl/>
              <w:wordWrap/>
              <w:autoSpaceDE/>
              <w:autoSpaceDN/>
              <w:spacing w:after="0" w:line="240" w:lineRule="auto"/>
              <w:jc w:val="center"/>
              <w:rPr>
                <w:rFonts w:ascii="Calibri" w:eastAsia="Times New Roman" w:hAnsi="Calibri" w:cs="Calibri"/>
                <w:kern w:val="0"/>
                <w:sz w:val="36"/>
                <w:szCs w:val="36"/>
              </w:rPr>
            </w:pPr>
            <w:r w:rsidRPr="0088142B">
              <w:rPr>
                <w:rFonts w:ascii="Calibri" w:eastAsia="Times New Roman" w:hAnsi="Calibri" w:cs="Calibri"/>
                <w:color w:val="000000" w:themeColor="text1"/>
                <w:kern w:val="24"/>
                <w:sz w:val="24"/>
                <w:szCs w:val="24"/>
                <w:lang w:val="fr-CH"/>
              </w:rPr>
              <w:t>38.6</w:t>
            </w:r>
            <w:r w:rsidR="008C747C" w:rsidRPr="0088142B">
              <w:rPr>
                <w:rFonts w:ascii="Calibri" w:eastAsia="Times New Roman" w:hAnsi="Calibri" w:cs="Calibri"/>
                <w:color w:val="000000" w:themeColor="text1"/>
                <w:kern w:val="24"/>
                <w:sz w:val="24"/>
                <w:szCs w:val="24"/>
                <w:lang w:val="fr-CH"/>
              </w:rPr>
              <w:t xml:space="preserve"> ± 0.</w:t>
            </w:r>
            <w:r w:rsidR="003054FC" w:rsidRPr="0088142B">
              <w:rPr>
                <w:rFonts w:ascii="Calibri" w:eastAsia="Times New Roman" w:hAnsi="Calibri" w:cs="Calibri"/>
                <w:color w:val="000000" w:themeColor="text1"/>
                <w:kern w:val="24"/>
                <w:sz w:val="24"/>
                <w:szCs w:val="24"/>
                <w:lang w:val="fr-CH"/>
              </w:rPr>
              <w:t>4</w:t>
            </w:r>
          </w:p>
        </w:tc>
      </w:tr>
    </w:tbl>
    <w:p w14:paraId="4ACB1195" w14:textId="77777777" w:rsidR="008C747C" w:rsidRPr="0088142B" w:rsidRDefault="008C747C" w:rsidP="008C747C">
      <w:pPr>
        <w:pStyle w:val="Caption"/>
        <w:rPr>
          <w:rFonts w:ascii="Calibri" w:hAnsi="Calibri" w:cs="Calibri"/>
          <w:i w:val="0"/>
          <w:iCs w:val="0"/>
          <w:color w:val="auto"/>
          <w:sz w:val="20"/>
          <w:szCs w:val="20"/>
        </w:rPr>
      </w:pPr>
    </w:p>
    <w:p w14:paraId="25D51CFC" w14:textId="5AC1019D" w:rsidR="008C5A9E" w:rsidRPr="0088142B" w:rsidRDefault="00F72EE9">
      <w:pPr>
        <w:widowControl/>
        <w:wordWrap/>
        <w:autoSpaceDE/>
        <w:autoSpaceDN/>
        <w:rPr>
          <w:rFonts w:ascii="Calibri" w:hAnsi="Calibri" w:cs="Calibri"/>
        </w:rPr>
      </w:pPr>
      <w:r w:rsidRPr="0088142B">
        <w:rPr>
          <w:rFonts w:ascii="Calibri" w:hAnsi="Calibri" w:cs="Calibri"/>
        </w:rPr>
        <w:br w:type="page"/>
      </w:r>
    </w:p>
    <w:p w14:paraId="5A38A7DC" w14:textId="77777777" w:rsidR="00164E50" w:rsidRPr="0088142B" w:rsidRDefault="00164E50" w:rsidP="00164E50">
      <w:pPr>
        <w:keepNext/>
        <w:rPr>
          <w:rFonts w:ascii="Calibri" w:hAnsi="Calibri" w:cs="Calibri"/>
        </w:rPr>
      </w:pPr>
      <w:r w:rsidRPr="0088142B">
        <w:rPr>
          <w:rFonts w:ascii="Calibri" w:hAnsi="Calibri" w:cs="Calibri"/>
          <w:noProof/>
        </w:rPr>
        <w:lastRenderedPageBreak/>
        <w:drawing>
          <wp:inline distT="0" distB="0" distL="0" distR="0" wp14:anchorId="0AB4F55A" wp14:editId="13609275">
            <wp:extent cx="5731510" cy="2286000"/>
            <wp:effectExtent l="0" t="0" r="2540" b="0"/>
            <wp:docPr id="897399791" name="Graphic 6">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399791" name="Graphic 6">
                      <a:extLst>
                        <a:ext uri="{FF2B5EF4-FFF2-40B4-BE49-F238E27FC236}">
                          <a16:creationId xmlns:a16="http://schemas.microsoft.com/office/drawing/2014/main" id="{AD4F1BD5-2A52-584B-A088-43EE8C460F35}"/>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t="5994" b="66416"/>
                    <a:stretch>
                      <a:fillRect/>
                    </a:stretch>
                  </pic:blipFill>
                  <pic:spPr bwMode="auto">
                    <a:xfrm>
                      <a:off x="0" y="0"/>
                      <a:ext cx="5731510" cy="2286000"/>
                    </a:xfrm>
                    <a:prstGeom prst="rect">
                      <a:avLst/>
                    </a:prstGeom>
                    <a:ln>
                      <a:noFill/>
                    </a:ln>
                    <a:extLst>
                      <a:ext uri="{53640926-AAD7-44D8-BBD7-CCE9431645EC}">
                        <a14:shadowObscured xmlns:a14="http://schemas.microsoft.com/office/drawing/2010/main"/>
                      </a:ext>
                    </a:extLst>
                  </pic:spPr>
                </pic:pic>
              </a:graphicData>
            </a:graphic>
          </wp:inline>
        </w:drawing>
      </w:r>
    </w:p>
    <w:p w14:paraId="4A8C7D6F" w14:textId="6B50CD05" w:rsidR="00164E50" w:rsidRPr="0088142B" w:rsidRDefault="00164E50" w:rsidP="00164E50">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S4</w:t>
      </w:r>
      <w:r w:rsidRPr="0088142B">
        <w:rPr>
          <w:rFonts w:ascii="Calibri" w:hAnsi="Calibri" w:cs="Calibri"/>
          <w:i w:val="0"/>
          <w:iCs w:val="0"/>
          <w:color w:val="auto"/>
          <w:sz w:val="20"/>
          <w:szCs w:val="20"/>
        </w:rPr>
        <w:t xml:space="preserve">. </w:t>
      </w:r>
      <w:r w:rsidR="008A54CE" w:rsidRPr="0088142B">
        <w:rPr>
          <w:rFonts w:ascii="Calibri" w:hAnsi="Calibri" w:cs="Calibri"/>
          <w:i w:val="0"/>
          <w:iCs w:val="0"/>
          <w:color w:val="auto"/>
          <w:sz w:val="20"/>
          <w:szCs w:val="20"/>
        </w:rPr>
        <w:t>Optical characterization of liquid-phase calcined fluorescent 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 xml:space="preserve"> NPs (L-Au@SiO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-Cy5 NPs). (a) UV-</w:t>
      </w:r>
      <w:proofErr w:type="gramStart"/>
      <w:r w:rsidR="008A54CE" w:rsidRPr="0088142B">
        <w:rPr>
          <w:rFonts w:ascii="Calibri" w:hAnsi="Calibri" w:cs="Calibri"/>
          <w:i w:val="0"/>
          <w:iCs w:val="0"/>
          <w:color w:val="auto"/>
          <w:sz w:val="20"/>
          <w:szCs w:val="20"/>
        </w:rPr>
        <w:t>Vis</w:t>
      </w:r>
      <w:proofErr w:type="gramEnd"/>
      <w:r w:rsidR="008A54CE" w:rsidRPr="0088142B">
        <w:rPr>
          <w:rFonts w:ascii="Calibri" w:hAnsi="Calibri" w:cs="Calibri"/>
          <w:i w:val="0"/>
          <w:iCs w:val="0"/>
          <w:color w:val="auto"/>
          <w:sz w:val="20"/>
          <w:szCs w:val="20"/>
        </w:rPr>
        <w:t xml:space="preserve"> extinction spectra of PEGylated Au-core NPs (black), as-synthesized fluorescent 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 xml:space="preserve"> NPs (red), and L-Au@SiO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-Cy5 NPs (blue), showing preservation of the localized surface plasmon resonance peak. (b) Fluorescence emission spectra (</w:t>
      </w:r>
      <w:proofErr w:type="spellStart"/>
      <w:r w:rsidR="008A54CE" w:rsidRPr="0088142B">
        <w:rPr>
          <w:rFonts w:ascii="Calibri" w:hAnsi="Calibri" w:cs="Calibri"/>
          <w:i w:val="0"/>
          <w:iCs w:val="0"/>
          <w:color w:val="auto"/>
          <w:sz w:val="20"/>
          <w:szCs w:val="20"/>
        </w:rPr>
        <w:t>λex</w:t>
      </w:r>
      <w:proofErr w:type="spellEnd"/>
      <w:r w:rsidR="008A54CE" w:rsidRPr="0088142B">
        <w:rPr>
          <w:rFonts w:ascii="Calibri" w:hAnsi="Calibri" w:cs="Calibri"/>
          <w:i w:val="0"/>
          <w:iCs w:val="0"/>
          <w:color w:val="auto"/>
          <w:sz w:val="20"/>
          <w:szCs w:val="20"/>
        </w:rPr>
        <w:t xml:space="preserve"> = 630 nm) of as-synthesized (black) and L-Au@SiO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-Cy5 NPs (red) at 20 μg/mL, showing moderate fluorescence reduction (~38%) after liquid-phase calcination due to partial thermal degradation of Cy5.</w:t>
      </w:r>
    </w:p>
    <w:p w14:paraId="2C8089F1" w14:textId="77777777" w:rsidR="00164E50" w:rsidRPr="0088142B" w:rsidRDefault="00164E50">
      <w:pPr>
        <w:widowControl/>
        <w:wordWrap/>
        <w:autoSpaceDE/>
        <w:autoSpaceDN/>
        <w:rPr>
          <w:rFonts w:ascii="Calibri" w:hAnsi="Calibri" w:cs="Calibri"/>
        </w:rPr>
      </w:pPr>
      <w:r w:rsidRPr="0088142B">
        <w:rPr>
          <w:rFonts w:ascii="Calibri" w:hAnsi="Calibri" w:cs="Calibri"/>
        </w:rPr>
        <w:br w:type="page"/>
      </w:r>
    </w:p>
    <w:p w14:paraId="45DD7DC3" w14:textId="1D8FB0DB" w:rsidR="008C5A9E" w:rsidRPr="0088142B" w:rsidRDefault="008C5A9E" w:rsidP="008C5A9E">
      <w:pPr>
        <w:keepNext/>
        <w:rPr>
          <w:rFonts w:ascii="Calibri" w:hAnsi="Calibri" w:cs="Calibri"/>
        </w:rPr>
      </w:pPr>
      <w:r w:rsidRPr="0088142B">
        <w:rPr>
          <w:rFonts w:ascii="Calibri" w:hAnsi="Calibri" w:cs="Calibri"/>
          <w:noProof/>
        </w:rPr>
        <w:lastRenderedPageBreak/>
        <w:drawing>
          <wp:inline distT="0" distB="0" distL="0" distR="0" wp14:anchorId="5BB5EF19" wp14:editId="6A518FB7">
            <wp:extent cx="5731510" cy="3078480"/>
            <wp:effectExtent l="0" t="0" r="2540" b="7620"/>
            <wp:docPr id="1820975363" name="Graphic 6">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75363" name="Graphic 6">
                      <a:extLst>
                        <a:ext uri="{FF2B5EF4-FFF2-40B4-BE49-F238E27FC236}">
                          <a16:creationId xmlns:a16="http://schemas.microsoft.com/office/drawing/2014/main" id="{AD4F1BD5-2A52-584B-A088-43EE8C460F35}"/>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t="5781" b="57040"/>
                    <a:stretch>
                      <a:fillRect/>
                    </a:stretch>
                  </pic:blipFill>
                  <pic:spPr bwMode="auto">
                    <a:xfrm>
                      <a:off x="0" y="0"/>
                      <a:ext cx="5731510" cy="3078480"/>
                    </a:xfrm>
                    <a:prstGeom prst="rect">
                      <a:avLst/>
                    </a:prstGeom>
                    <a:ln>
                      <a:noFill/>
                    </a:ln>
                    <a:extLst>
                      <a:ext uri="{53640926-AAD7-44D8-BBD7-CCE9431645EC}">
                        <a14:shadowObscured xmlns:a14="http://schemas.microsoft.com/office/drawing/2010/main"/>
                      </a:ext>
                    </a:extLst>
                  </pic:spPr>
                </pic:pic>
              </a:graphicData>
            </a:graphic>
          </wp:inline>
        </w:drawing>
      </w:r>
    </w:p>
    <w:p w14:paraId="5D2E7E73" w14:textId="4F7F8AA4" w:rsidR="00164E50" w:rsidRPr="0088142B" w:rsidRDefault="008C5A9E" w:rsidP="008C5A9E">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w:t>
      </w:r>
      <w:r w:rsidR="00164E50" w:rsidRPr="0088142B">
        <w:rPr>
          <w:rFonts w:ascii="Calibri" w:hAnsi="Calibri" w:cs="Calibri"/>
          <w:b/>
          <w:bCs/>
          <w:i w:val="0"/>
          <w:iCs w:val="0"/>
          <w:color w:val="auto"/>
          <w:sz w:val="20"/>
          <w:szCs w:val="20"/>
        </w:rPr>
        <w:t>5</w:t>
      </w:r>
      <w:r w:rsidRPr="0088142B">
        <w:rPr>
          <w:rFonts w:ascii="Calibri" w:hAnsi="Calibri" w:cs="Calibri"/>
          <w:i w:val="0"/>
          <w:iCs w:val="0"/>
          <w:color w:val="auto"/>
          <w:sz w:val="20"/>
          <w:szCs w:val="20"/>
        </w:rPr>
        <w:t>. pH-independent stability of solid-phase calcined S-Au@SiO2-Cy5 NPs. S-Au@SiO</w:t>
      </w:r>
      <w:r w:rsidRPr="0088142B">
        <w:rPr>
          <w:rFonts w:ascii="Calibri" w:hAnsi="Calibri" w:cs="Calibri"/>
          <w:i w:val="0"/>
          <w:iCs w:val="0"/>
          <w:color w:val="auto"/>
          <w:sz w:val="20"/>
          <w:szCs w:val="20"/>
          <w:vertAlign w:val="subscript"/>
        </w:rPr>
        <w:t>2</w:t>
      </w:r>
      <w:r w:rsidRPr="0088142B">
        <w:rPr>
          <w:rFonts w:ascii="Calibri" w:hAnsi="Calibri" w:cs="Calibri"/>
          <w:i w:val="0"/>
          <w:iCs w:val="0"/>
          <w:color w:val="auto"/>
          <w:sz w:val="20"/>
          <w:szCs w:val="20"/>
        </w:rPr>
        <w:t>-Cy5 NPs (20 µg/mL) were incubated at 37°C in buffer solutions at pH 4.5 (acetate buffer), pH 6.5 (phosphate buffer), pH 7.4 (PBS), and pH 8.5 (phosphate buffer) for 6 h and 24 h. TEM images demonstrate that silica shells remain completely intact across all pH conditions tested (pH 4.5-8.5), encompassing the physiologically relevant pH range of 7-8. This pH-independent stability confirms that solid-phase calcination produces chemically robust silica shells that resist dissolution across the full range of biological pH environments. Scale bars: 200 nm.</w:t>
      </w:r>
    </w:p>
    <w:p w14:paraId="6AF69017" w14:textId="77777777" w:rsidR="00164E50" w:rsidRPr="0088142B" w:rsidRDefault="00164E50">
      <w:pPr>
        <w:widowControl/>
        <w:wordWrap/>
        <w:autoSpaceDE/>
        <w:autoSpaceDN/>
        <w:rPr>
          <w:rFonts w:ascii="Calibri" w:hAnsi="Calibri" w:cs="Calibri"/>
          <w:szCs w:val="20"/>
        </w:rPr>
      </w:pPr>
      <w:r w:rsidRPr="0088142B">
        <w:rPr>
          <w:rFonts w:ascii="Calibri" w:hAnsi="Calibri" w:cs="Calibri"/>
          <w:i/>
          <w:iCs/>
          <w:szCs w:val="20"/>
        </w:rPr>
        <w:br w:type="page"/>
      </w:r>
    </w:p>
    <w:p w14:paraId="000CBB0E" w14:textId="77777777" w:rsidR="008C747C" w:rsidRPr="0088142B" w:rsidRDefault="008C747C" w:rsidP="008C747C">
      <w:pPr>
        <w:keepNext/>
        <w:rPr>
          <w:rFonts w:ascii="Calibri" w:hAnsi="Calibri" w:cs="Calibri"/>
        </w:rPr>
      </w:pPr>
      <w:r w:rsidRPr="0088142B">
        <w:rPr>
          <w:rFonts w:ascii="Calibri" w:hAnsi="Calibri" w:cs="Calibri"/>
          <w:noProof/>
        </w:rPr>
        <w:lastRenderedPageBreak/>
        <w:drawing>
          <wp:inline distT="0" distB="0" distL="0" distR="0" wp14:anchorId="186DA2C1" wp14:editId="298FF96D">
            <wp:extent cx="5731510" cy="2293620"/>
            <wp:effectExtent l="0" t="0" r="2540" b="0"/>
            <wp:docPr id="1317140082" name="Graphic 6">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140082" name="Graphic 6">
                      <a:extLst>
                        <a:ext uri="{FF2B5EF4-FFF2-40B4-BE49-F238E27FC236}">
                          <a16:creationId xmlns:a16="http://schemas.microsoft.com/office/drawing/2014/main" id="{AD4F1BD5-2A52-584B-A088-43EE8C460F35}"/>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t="5902" b="66416"/>
                    <a:stretch>
                      <a:fillRect/>
                    </a:stretch>
                  </pic:blipFill>
                  <pic:spPr bwMode="auto">
                    <a:xfrm>
                      <a:off x="0" y="0"/>
                      <a:ext cx="5731510" cy="2293620"/>
                    </a:xfrm>
                    <a:prstGeom prst="rect">
                      <a:avLst/>
                    </a:prstGeom>
                    <a:ln>
                      <a:noFill/>
                    </a:ln>
                    <a:extLst>
                      <a:ext uri="{53640926-AAD7-44D8-BBD7-CCE9431645EC}">
                        <a14:shadowObscured xmlns:a14="http://schemas.microsoft.com/office/drawing/2010/main"/>
                      </a:ext>
                    </a:extLst>
                  </pic:spPr>
                </pic:pic>
              </a:graphicData>
            </a:graphic>
          </wp:inline>
        </w:drawing>
      </w:r>
    </w:p>
    <w:p w14:paraId="0370C621" w14:textId="63EDEA77" w:rsidR="00164E50" w:rsidRPr="0088142B" w:rsidRDefault="008C747C" w:rsidP="008C747C">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w:t>
      </w:r>
      <w:r w:rsidR="00164E50" w:rsidRPr="0088142B">
        <w:rPr>
          <w:rFonts w:ascii="Calibri" w:hAnsi="Calibri" w:cs="Calibri"/>
          <w:b/>
          <w:bCs/>
          <w:i w:val="0"/>
          <w:iCs w:val="0"/>
          <w:color w:val="auto"/>
          <w:sz w:val="20"/>
          <w:szCs w:val="20"/>
        </w:rPr>
        <w:t>6</w:t>
      </w:r>
      <w:r w:rsidRPr="0088142B">
        <w:rPr>
          <w:rFonts w:ascii="Calibri" w:hAnsi="Calibri" w:cs="Calibri"/>
          <w:i w:val="0"/>
          <w:iCs w:val="0"/>
          <w:color w:val="auto"/>
          <w:sz w:val="20"/>
          <w:szCs w:val="20"/>
        </w:rPr>
        <w:t xml:space="preserve">. </w:t>
      </w:r>
      <w:r w:rsidR="008A54CE" w:rsidRPr="0088142B">
        <w:rPr>
          <w:rFonts w:ascii="Calibri" w:hAnsi="Calibri" w:cs="Calibri"/>
          <w:i w:val="0"/>
          <w:iCs w:val="0"/>
          <w:color w:val="auto"/>
          <w:sz w:val="20"/>
          <w:szCs w:val="20"/>
        </w:rPr>
        <w:t>Optical characterization of solid-phase calcined 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 xml:space="preserve"> NPs (S-Au@SiO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-Cy5 NPs), confirming preservation of multimodal imaging capability after post-calcination labeling. (a) UV-</w:t>
      </w:r>
      <w:proofErr w:type="gramStart"/>
      <w:r w:rsidR="008A54CE" w:rsidRPr="0088142B">
        <w:rPr>
          <w:rFonts w:ascii="Calibri" w:hAnsi="Calibri" w:cs="Calibri"/>
          <w:i w:val="0"/>
          <w:iCs w:val="0"/>
          <w:color w:val="auto"/>
          <w:sz w:val="20"/>
          <w:szCs w:val="20"/>
        </w:rPr>
        <w:t>Vis</w:t>
      </w:r>
      <w:proofErr w:type="gramEnd"/>
      <w:r w:rsidR="008A54CE" w:rsidRPr="0088142B">
        <w:rPr>
          <w:rFonts w:ascii="Calibri" w:hAnsi="Calibri" w:cs="Calibri"/>
          <w:i w:val="0"/>
          <w:iCs w:val="0"/>
          <w:color w:val="auto"/>
          <w:sz w:val="20"/>
          <w:szCs w:val="20"/>
        </w:rPr>
        <w:t xml:space="preserve"> extinction spectra of PEGylated Au-core NPs (black), solid-phase calcined Au@SiO2 NPs before dye conjugation (red), and S-Au@SiO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-Cy5 NPs after post-calcination Cy5 labeling (blue), confirming preserved plasmonic properties. (b) Fluorescence emission spectra of solid-phase calcined 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 xml:space="preserve"> NPs before Cy5 conjugation (black, control) and S-Au@SiO</w:t>
      </w:r>
      <w:r w:rsidR="008A54CE" w:rsidRPr="0088142B">
        <w:rPr>
          <w:rFonts w:ascii="Calibri" w:hAnsi="Calibri" w:cs="Calibri"/>
          <w:i w:val="0"/>
          <w:iCs w:val="0"/>
          <w:color w:val="auto"/>
          <w:sz w:val="20"/>
          <w:szCs w:val="20"/>
          <w:vertAlign w:val="subscript"/>
        </w:rPr>
        <w:t>2</w:t>
      </w:r>
      <w:r w:rsidR="008A54CE" w:rsidRPr="0088142B">
        <w:rPr>
          <w:rFonts w:ascii="Calibri" w:hAnsi="Calibri" w:cs="Calibri"/>
          <w:i w:val="0"/>
          <w:iCs w:val="0"/>
          <w:color w:val="auto"/>
          <w:sz w:val="20"/>
          <w:szCs w:val="20"/>
        </w:rPr>
        <w:t>-Cy5 NPs after post-calcination labeling (red) at 20 μg/mL, demonstrating successful fluorophore attachment.</w:t>
      </w:r>
    </w:p>
    <w:p w14:paraId="7C216E43" w14:textId="77777777" w:rsidR="00164E50" w:rsidRPr="0088142B" w:rsidRDefault="00164E50">
      <w:pPr>
        <w:widowControl/>
        <w:wordWrap/>
        <w:autoSpaceDE/>
        <w:autoSpaceDN/>
        <w:rPr>
          <w:rFonts w:ascii="Calibri" w:hAnsi="Calibri" w:cs="Calibri"/>
          <w:szCs w:val="20"/>
        </w:rPr>
      </w:pPr>
      <w:r w:rsidRPr="0088142B">
        <w:rPr>
          <w:rFonts w:ascii="Calibri" w:hAnsi="Calibri" w:cs="Calibri"/>
          <w:i/>
          <w:iCs/>
          <w:szCs w:val="20"/>
        </w:rPr>
        <w:br w:type="page"/>
      </w:r>
    </w:p>
    <w:p w14:paraId="519BDFFA" w14:textId="77777777" w:rsidR="00FE4047" w:rsidRPr="0088142B" w:rsidRDefault="00FE4047" w:rsidP="008C747C">
      <w:pPr>
        <w:pStyle w:val="Caption"/>
        <w:rPr>
          <w:rFonts w:ascii="Calibri" w:hAnsi="Calibri" w:cs="Calibri"/>
          <w:i w:val="0"/>
          <w:iCs w:val="0"/>
          <w:color w:val="auto"/>
          <w:sz w:val="20"/>
          <w:szCs w:val="20"/>
        </w:rPr>
      </w:pPr>
    </w:p>
    <w:p w14:paraId="0B342C33" w14:textId="3D36413B" w:rsidR="00FE4047" w:rsidRPr="0088142B" w:rsidRDefault="00FE4047">
      <w:pPr>
        <w:widowControl/>
        <w:wordWrap/>
        <w:autoSpaceDE/>
        <w:autoSpaceDN/>
        <w:rPr>
          <w:rFonts w:ascii="Calibri" w:hAnsi="Calibri" w:cs="Calibri"/>
          <w:szCs w:val="20"/>
        </w:rPr>
      </w:pPr>
    </w:p>
    <w:p w14:paraId="1505328A" w14:textId="77777777" w:rsidR="00FE4047" w:rsidRPr="0088142B" w:rsidRDefault="00FE4047" w:rsidP="00FE4047">
      <w:pPr>
        <w:keepNext/>
        <w:jc w:val="center"/>
        <w:rPr>
          <w:rFonts w:ascii="Calibri" w:hAnsi="Calibri" w:cs="Calibri"/>
        </w:rPr>
      </w:pPr>
      <w:r w:rsidRPr="0088142B">
        <w:rPr>
          <w:rFonts w:ascii="Calibri" w:hAnsi="Calibri" w:cs="Calibri"/>
          <w:noProof/>
        </w:rPr>
        <w:drawing>
          <wp:inline distT="0" distB="0" distL="0" distR="0" wp14:anchorId="10244BC9" wp14:editId="4C0B4E8D">
            <wp:extent cx="4335560" cy="3406581"/>
            <wp:effectExtent l="0" t="0" r="0" b="3810"/>
            <wp:docPr id="1828840099" name="Graphic 6">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840099" name="Graphic 6">
                      <a:extLst>
                        <a:ext uri="{FF2B5EF4-FFF2-40B4-BE49-F238E27FC236}">
                          <a16:creationId xmlns:a16="http://schemas.microsoft.com/office/drawing/2014/main" id="{AD4F1BD5-2A52-584B-A088-43EE8C460F35}"/>
                        </a:ext>
                      </a:extLst>
                    </pic:cNvPr>
                    <pic:cNvPicPr>
                      <a:picLocks noChangeAspect="1"/>
                    </pic:cNvPicPr>
                  </pic:nvPicPr>
                  <pic:blipFill>
                    <a:blip r:embed="rId14" cstate="print">
                      <a:extLst>
                        <a:ext uri="{28A0092B-C50C-407E-A947-70E740481C1C}">
                          <a14:useLocalDpi xmlns:a14="http://schemas.microsoft.com/office/drawing/2010/main" val="0"/>
                        </a:ext>
                      </a:extLst>
                    </a:blip>
                    <a:srcRect t="892" b="892"/>
                    <a:stretch>
                      <a:fillRect/>
                    </a:stretch>
                  </pic:blipFill>
                  <pic:spPr bwMode="auto">
                    <a:xfrm>
                      <a:off x="0" y="0"/>
                      <a:ext cx="4335560" cy="3406581"/>
                    </a:xfrm>
                    <a:prstGeom prst="rect">
                      <a:avLst/>
                    </a:prstGeom>
                    <a:ln>
                      <a:noFill/>
                    </a:ln>
                    <a:extLst>
                      <a:ext uri="{53640926-AAD7-44D8-BBD7-CCE9431645EC}">
                        <a14:shadowObscured xmlns:a14="http://schemas.microsoft.com/office/drawing/2010/main"/>
                      </a:ext>
                    </a:extLst>
                  </pic:spPr>
                </pic:pic>
              </a:graphicData>
            </a:graphic>
          </wp:inline>
        </w:drawing>
      </w:r>
    </w:p>
    <w:p w14:paraId="03708ED6" w14:textId="6B219C34" w:rsidR="00FE4047" w:rsidRPr="0088142B" w:rsidRDefault="00FE4047" w:rsidP="009A1F43">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w:t>
      </w:r>
      <w:r w:rsidR="00EF4C5C" w:rsidRPr="0088142B">
        <w:rPr>
          <w:rFonts w:ascii="Calibri" w:hAnsi="Calibri" w:cs="Calibri"/>
          <w:b/>
          <w:bCs/>
          <w:i w:val="0"/>
          <w:iCs w:val="0"/>
          <w:color w:val="auto"/>
          <w:sz w:val="20"/>
          <w:szCs w:val="20"/>
        </w:rPr>
        <w:t>7</w:t>
      </w:r>
      <w:r w:rsidRPr="0088142B">
        <w:rPr>
          <w:rFonts w:ascii="Calibri" w:hAnsi="Calibri" w:cs="Calibri"/>
          <w:i w:val="0"/>
          <w:iCs w:val="0"/>
          <w:color w:val="auto"/>
          <w:sz w:val="20"/>
          <w:szCs w:val="20"/>
        </w:rPr>
        <w:t xml:space="preserve">. </w:t>
      </w:r>
      <w:r w:rsidR="009A1F43" w:rsidRPr="0088142B">
        <w:rPr>
          <w:rFonts w:ascii="Calibri" w:hAnsi="Calibri" w:cs="Calibri"/>
          <w:i w:val="0"/>
          <w:iCs w:val="0"/>
          <w:color w:val="auto"/>
          <w:sz w:val="20"/>
          <w:szCs w:val="20"/>
        </w:rPr>
        <w:t>Zeta potential distributions of S-Au@SiO</w:t>
      </w:r>
      <w:r w:rsidR="009A1F43" w:rsidRPr="0088142B">
        <w:rPr>
          <w:rFonts w:ascii="Calibri" w:hAnsi="Calibri" w:cs="Calibri"/>
          <w:i w:val="0"/>
          <w:iCs w:val="0"/>
          <w:color w:val="auto"/>
          <w:sz w:val="20"/>
          <w:szCs w:val="20"/>
          <w:vertAlign w:val="subscript"/>
        </w:rPr>
        <w:t>2</w:t>
      </w:r>
      <w:r w:rsidR="009A1F43" w:rsidRPr="0088142B">
        <w:rPr>
          <w:rFonts w:ascii="Calibri" w:hAnsi="Calibri" w:cs="Calibri"/>
          <w:i w:val="0"/>
          <w:iCs w:val="0"/>
          <w:color w:val="auto"/>
          <w:sz w:val="20"/>
          <w:szCs w:val="20"/>
        </w:rPr>
        <w:t>-Cy5 NPs before (</w:t>
      </w:r>
      <w:r w:rsidR="007D4B5E" w:rsidRPr="0088142B">
        <w:rPr>
          <w:rFonts w:ascii="Calibri" w:hAnsi="Calibri" w:cs="Calibri"/>
          <w:i w:val="0"/>
          <w:iCs w:val="0"/>
          <w:color w:val="auto"/>
          <w:sz w:val="20"/>
          <w:szCs w:val="20"/>
        </w:rPr>
        <w:t>black</w:t>
      </w:r>
      <w:r w:rsidR="009A1F43" w:rsidRPr="0088142B">
        <w:rPr>
          <w:rFonts w:ascii="Calibri" w:hAnsi="Calibri" w:cs="Calibri"/>
          <w:i w:val="0"/>
          <w:iCs w:val="0"/>
          <w:color w:val="auto"/>
          <w:sz w:val="20"/>
          <w:szCs w:val="20"/>
        </w:rPr>
        <w:t xml:space="preserve">) and after (red) protein corona formation. Particles were incubated in complete RPMI medium (cRPMI) containing 10% fetal bovine serum for 1 h at 37°C, then centrifugally isolated (15,000 </w:t>
      </w:r>
      <w:proofErr w:type="spellStart"/>
      <w:r w:rsidR="009A1F43" w:rsidRPr="0088142B">
        <w:rPr>
          <w:rFonts w:ascii="Calibri" w:hAnsi="Calibri" w:cs="Calibri"/>
          <w:i w:val="0"/>
          <w:iCs w:val="0"/>
          <w:color w:val="auto"/>
          <w:sz w:val="20"/>
          <w:szCs w:val="20"/>
        </w:rPr>
        <w:t>rcf</w:t>
      </w:r>
      <w:proofErr w:type="spellEnd"/>
      <w:r w:rsidR="009A1F43" w:rsidRPr="0088142B">
        <w:rPr>
          <w:rFonts w:ascii="Calibri" w:hAnsi="Calibri" w:cs="Calibri"/>
          <w:i w:val="0"/>
          <w:iCs w:val="0"/>
          <w:color w:val="auto"/>
          <w:sz w:val="20"/>
          <w:szCs w:val="20"/>
        </w:rPr>
        <w:t xml:space="preserve">, 10 min) and redispersed in </w:t>
      </w:r>
      <w:r w:rsidR="00184845" w:rsidRPr="0088142B">
        <w:rPr>
          <w:rFonts w:ascii="Calibri" w:hAnsi="Calibri" w:cs="Calibri"/>
          <w:i w:val="0"/>
          <w:iCs w:val="0"/>
          <w:color w:val="auto"/>
          <w:sz w:val="20"/>
          <w:szCs w:val="20"/>
        </w:rPr>
        <w:t xml:space="preserve">fresh </w:t>
      </w:r>
      <w:proofErr w:type="spellStart"/>
      <w:r w:rsidR="00F33933" w:rsidRPr="0088142B">
        <w:rPr>
          <w:rFonts w:ascii="Calibri" w:hAnsi="Calibri" w:cs="Calibri"/>
          <w:i w:val="0"/>
          <w:iCs w:val="0"/>
          <w:color w:val="auto"/>
          <w:sz w:val="20"/>
          <w:szCs w:val="20"/>
        </w:rPr>
        <w:t>MilliQ</w:t>
      </w:r>
      <w:proofErr w:type="spellEnd"/>
      <w:r w:rsidR="009A1F43" w:rsidRPr="0088142B">
        <w:rPr>
          <w:rFonts w:ascii="Calibri" w:hAnsi="Calibri" w:cs="Calibri"/>
          <w:i w:val="0"/>
          <w:iCs w:val="0"/>
          <w:color w:val="auto"/>
          <w:sz w:val="20"/>
          <w:szCs w:val="20"/>
        </w:rPr>
        <w:t xml:space="preserve"> water</w:t>
      </w:r>
      <w:r w:rsidR="00184845" w:rsidRPr="0088142B">
        <w:rPr>
          <w:rFonts w:ascii="Calibri" w:hAnsi="Calibri" w:cs="Calibri"/>
          <w:i w:val="0"/>
          <w:iCs w:val="0"/>
          <w:color w:val="auto"/>
          <w:sz w:val="20"/>
          <w:szCs w:val="20"/>
        </w:rPr>
        <w:t xml:space="preserve"> (pH</w:t>
      </w:r>
      <w:r w:rsidR="00B03922" w:rsidRPr="0088142B">
        <w:rPr>
          <w:rFonts w:ascii="Calibri" w:hAnsi="Calibri" w:cs="Calibri"/>
          <w:i w:val="0"/>
          <w:iCs w:val="0"/>
          <w:color w:val="auto"/>
          <w:sz w:val="20"/>
          <w:szCs w:val="20"/>
        </w:rPr>
        <w:t xml:space="preserve"> 5.5-6.5</w:t>
      </w:r>
      <w:r w:rsidR="00184845" w:rsidRPr="0088142B">
        <w:rPr>
          <w:rFonts w:ascii="Calibri" w:hAnsi="Calibri" w:cs="Calibri"/>
          <w:i w:val="0"/>
          <w:iCs w:val="0"/>
          <w:color w:val="auto"/>
          <w:sz w:val="20"/>
          <w:szCs w:val="20"/>
        </w:rPr>
        <w:t xml:space="preserve">) </w:t>
      </w:r>
      <w:r w:rsidR="009A1F43" w:rsidRPr="0088142B">
        <w:rPr>
          <w:rFonts w:ascii="Calibri" w:hAnsi="Calibri" w:cs="Calibri"/>
          <w:i w:val="0"/>
          <w:iCs w:val="0"/>
          <w:color w:val="auto"/>
          <w:sz w:val="20"/>
          <w:szCs w:val="20"/>
        </w:rPr>
        <w:t>for measurement. Direct zeta potential measurement in serum-containing media is unreliable due to electrode fouling from high ionic strength</w:t>
      </w:r>
      <w:r w:rsidR="00E27530" w:rsidRPr="0088142B">
        <w:rPr>
          <w:rFonts w:ascii="Calibri" w:hAnsi="Calibri" w:cs="Calibri"/>
          <w:i w:val="0"/>
          <w:iCs w:val="0"/>
          <w:color w:val="auto"/>
          <w:sz w:val="20"/>
          <w:szCs w:val="20"/>
        </w:rPr>
        <w:fldChar w:fldCharType="begin" w:fldLock="1"/>
      </w:r>
      <w:r w:rsidR="00E27530" w:rsidRPr="0088142B">
        <w:rPr>
          <w:rFonts w:ascii="Calibri" w:hAnsi="Calibri" w:cs="Calibri"/>
          <w:i w:val="0"/>
          <w:iCs w:val="0"/>
          <w:color w:val="auto"/>
          <w:sz w:val="20"/>
          <w:szCs w:val="20"/>
        </w:rPr>
        <w:instrText>ADDIN CSL_CITATION {"citationItems":[{"id":"ITEM-1","itemData":{"DOI":"10.1016/j.jconrel.2016.06.017","ISSN":"18734995","PMID":"27297779","abstract":"Adequate characterization of NPs (nanoparticles) is of paramount importance to develop well defined nanoformulations of therapeutic relevance. Determination of particle size and surface charge of NPs are indispensable for proper characterization of NPs. DLS (dynamic light scattering) and ZP (zeta potential) measurements have gained popularity as simple, easy and reproducible tools to ascertain particle size and surface charge. Unfortunately, on practical grounds plenty of challenges exist regarding these two techniques including inadequate understanding of the operating principles and dealing with critical issues like sample preparation and interpretation of the data. As both DLS and ZP have emerged from the realms of physical colloid chemistry - it is difficult for researchers engaged in nanomedicine research to master these two techniques. Additionally, there is little literature available in drug delivery research which offers a simple, concise account on these techniques. This review tries to address this issue while providing the fundamental principles of these techniques, summarizing the core mathematical principles and offering practical guidelines on tackling commonly encountered problems while running DLS and ZP measurements. Finally, the review tries to analyze the relevance of these two techniques from translatory perspective.","author":[{"dropping-particle":"","family":"Bhattacharjee","given":"Sourav","non-dropping-particle":"","parse-names":false,"suffix":""}],"container-title":"Journal of Controlled Release","id":"ITEM-1","issued":{"date-parts":[["2016"]]},"page":"337-351","publisher":"Elsevier B.V.","title":"DLS and zeta potential - What they are and what they are not?","type":"article-journal","volume":"235"},"uris":["http://www.mendeley.com/documents/?uuid=9f7ff447-c7e5-4870-b13f-e5b366f0ea46"]}],"mendeley":{"formattedCitation":"&lt;sup&gt;[1]&lt;/sup&gt;","plainTextFormattedCitation":"[1]","previouslyFormattedCitation":"&lt;sup&gt;[1]&lt;/sup&gt;"},"properties":{"noteIndex":0},"schema":"https://github.com/citation-style-language/schema/raw/master/csl-citation.json"}</w:instrText>
      </w:r>
      <w:r w:rsidR="00E27530" w:rsidRPr="0088142B">
        <w:rPr>
          <w:rFonts w:ascii="Calibri" w:hAnsi="Calibri" w:cs="Calibri"/>
          <w:i w:val="0"/>
          <w:iCs w:val="0"/>
          <w:color w:val="auto"/>
          <w:sz w:val="20"/>
          <w:szCs w:val="20"/>
        </w:rPr>
        <w:fldChar w:fldCharType="separate"/>
      </w:r>
      <w:r w:rsidR="00E27530" w:rsidRPr="0088142B">
        <w:rPr>
          <w:rFonts w:ascii="Calibri" w:hAnsi="Calibri" w:cs="Calibri"/>
          <w:i w:val="0"/>
          <w:iCs w:val="0"/>
          <w:noProof/>
          <w:color w:val="auto"/>
          <w:sz w:val="20"/>
          <w:szCs w:val="20"/>
          <w:vertAlign w:val="superscript"/>
        </w:rPr>
        <w:t>[1]</w:t>
      </w:r>
      <w:r w:rsidR="00E27530" w:rsidRPr="0088142B">
        <w:rPr>
          <w:rFonts w:ascii="Calibri" w:hAnsi="Calibri" w:cs="Calibri"/>
          <w:i w:val="0"/>
          <w:iCs w:val="0"/>
          <w:color w:val="auto"/>
          <w:sz w:val="20"/>
          <w:szCs w:val="20"/>
        </w:rPr>
        <w:fldChar w:fldCharType="end"/>
      </w:r>
      <w:r w:rsidR="009A1F43" w:rsidRPr="0088142B">
        <w:rPr>
          <w:rFonts w:ascii="Calibri" w:hAnsi="Calibri" w:cs="Calibri"/>
          <w:i w:val="0"/>
          <w:iCs w:val="0"/>
          <w:color w:val="auto"/>
          <w:sz w:val="20"/>
          <w:szCs w:val="20"/>
        </w:rPr>
        <w:t>; therefore, centrifugal isolation was employed to remove excess salts and loosely bound proteins while preserving the hard protein corona. The charge inversion from +42.1 ± 1.3 mV to -35.0 ± 0.7 mV demonstrates extensive adsorption of negatively charged serum proteins. Values represent mean ± standard deviation (n=</w:t>
      </w:r>
      <w:r w:rsidR="00CE1F11" w:rsidRPr="0088142B">
        <w:rPr>
          <w:rFonts w:ascii="Calibri" w:hAnsi="Calibri" w:cs="Calibri"/>
          <w:i w:val="0"/>
          <w:iCs w:val="0"/>
          <w:color w:val="auto"/>
          <w:sz w:val="20"/>
          <w:szCs w:val="20"/>
        </w:rPr>
        <w:t>5</w:t>
      </w:r>
      <w:r w:rsidR="009A1F43" w:rsidRPr="0088142B">
        <w:rPr>
          <w:rFonts w:ascii="Calibri" w:hAnsi="Calibri" w:cs="Calibri"/>
          <w:i w:val="0"/>
          <w:iCs w:val="0"/>
          <w:color w:val="auto"/>
          <w:sz w:val="20"/>
          <w:szCs w:val="20"/>
        </w:rPr>
        <w:t>).</w:t>
      </w:r>
    </w:p>
    <w:p w14:paraId="4CCFE030" w14:textId="77777777" w:rsidR="00FE4047" w:rsidRPr="0088142B" w:rsidRDefault="00FE4047">
      <w:pPr>
        <w:widowControl/>
        <w:wordWrap/>
        <w:autoSpaceDE/>
        <w:autoSpaceDN/>
        <w:rPr>
          <w:rFonts w:ascii="Calibri" w:hAnsi="Calibri" w:cs="Calibri"/>
          <w:szCs w:val="20"/>
        </w:rPr>
      </w:pPr>
      <w:r w:rsidRPr="0088142B">
        <w:rPr>
          <w:rFonts w:ascii="Calibri" w:hAnsi="Calibri" w:cs="Calibri"/>
          <w:i/>
          <w:iCs/>
          <w:szCs w:val="20"/>
        </w:rPr>
        <w:br w:type="page"/>
      </w:r>
    </w:p>
    <w:p w14:paraId="5DD86B80" w14:textId="77777777" w:rsidR="00FE4047" w:rsidRPr="0088142B" w:rsidRDefault="00FE4047" w:rsidP="00FE4047">
      <w:pPr>
        <w:keepNext/>
        <w:jc w:val="center"/>
        <w:rPr>
          <w:rFonts w:ascii="Calibri" w:hAnsi="Calibri" w:cs="Calibri"/>
        </w:rPr>
      </w:pPr>
      <w:r w:rsidRPr="0088142B">
        <w:rPr>
          <w:rFonts w:ascii="Calibri" w:hAnsi="Calibri" w:cs="Calibri"/>
          <w:noProof/>
        </w:rPr>
        <w:lastRenderedPageBreak/>
        <w:drawing>
          <wp:inline distT="0" distB="0" distL="0" distR="0" wp14:anchorId="03C0704C" wp14:editId="3F70CD87">
            <wp:extent cx="4250267" cy="4097207"/>
            <wp:effectExtent l="0" t="0" r="0" b="0"/>
            <wp:docPr id="471077755" name="Graphic 6">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77755" name="Graphic 6">
                      <a:extLst>
                        <a:ext uri="{FF2B5EF4-FFF2-40B4-BE49-F238E27FC236}">
                          <a16:creationId xmlns:a16="http://schemas.microsoft.com/office/drawing/2014/main" id="{AD4F1BD5-2A52-584B-A088-43EE8C460F35}"/>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l="12262" t="892" r="13570" b="9736"/>
                    <a:stretch>
                      <a:fillRect/>
                    </a:stretch>
                  </pic:blipFill>
                  <pic:spPr bwMode="auto">
                    <a:xfrm>
                      <a:off x="0" y="0"/>
                      <a:ext cx="4250952" cy="4097867"/>
                    </a:xfrm>
                    <a:prstGeom prst="rect">
                      <a:avLst/>
                    </a:prstGeom>
                    <a:ln>
                      <a:noFill/>
                    </a:ln>
                    <a:extLst>
                      <a:ext uri="{53640926-AAD7-44D8-BBD7-CCE9431645EC}">
                        <a14:shadowObscured xmlns:a14="http://schemas.microsoft.com/office/drawing/2010/main"/>
                      </a:ext>
                    </a:extLst>
                  </pic:spPr>
                </pic:pic>
              </a:graphicData>
            </a:graphic>
          </wp:inline>
        </w:drawing>
      </w:r>
    </w:p>
    <w:p w14:paraId="52A0F413" w14:textId="025D885E" w:rsidR="00FE4047" w:rsidRPr="0088142B" w:rsidRDefault="00FE4047" w:rsidP="009A1F43">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w:t>
      </w:r>
      <w:r w:rsidR="00EF4C5C" w:rsidRPr="0088142B">
        <w:rPr>
          <w:rFonts w:ascii="Calibri" w:hAnsi="Calibri" w:cs="Calibri"/>
          <w:b/>
          <w:bCs/>
          <w:i w:val="0"/>
          <w:iCs w:val="0"/>
          <w:color w:val="auto"/>
          <w:sz w:val="20"/>
          <w:szCs w:val="20"/>
        </w:rPr>
        <w:t>8</w:t>
      </w:r>
      <w:r w:rsidRPr="0088142B">
        <w:rPr>
          <w:rFonts w:ascii="Calibri" w:hAnsi="Calibri" w:cs="Calibri"/>
          <w:i w:val="0"/>
          <w:iCs w:val="0"/>
          <w:color w:val="auto"/>
          <w:sz w:val="20"/>
          <w:szCs w:val="20"/>
        </w:rPr>
        <w:t xml:space="preserve">. </w:t>
      </w:r>
      <w:r w:rsidR="009A1F43" w:rsidRPr="0088142B">
        <w:rPr>
          <w:rFonts w:ascii="Calibri" w:hAnsi="Calibri" w:cs="Calibri"/>
          <w:i w:val="0"/>
          <w:iCs w:val="0"/>
          <w:color w:val="auto"/>
          <w:sz w:val="20"/>
          <w:szCs w:val="20"/>
        </w:rPr>
        <w:t>Lactate dehydrogenase (LDH) release assay demonstrating biocompatibility of S-Au@SiO</w:t>
      </w:r>
      <w:r w:rsidR="009A1F43" w:rsidRPr="0088142B">
        <w:rPr>
          <w:rFonts w:ascii="Calibri" w:hAnsi="Calibri" w:cs="Calibri"/>
          <w:i w:val="0"/>
          <w:iCs w:val="0"/>
          <w:color w:val="auto"/>
          <w:sz w:val="20"/>
          <w:szCs w:val="20"/>
          <w:vertAlign w:val="subscript"/>
        </w:rPr>
        <w:t>2</w:t>
      </w:r>
      <w:r w:rsidR="009A1F43" w:rsidRPr="0088142B">
        <w:rPr>
          <w:rFonts w:ascii="Calibri" w:hAnsi="Calibri" w:cs="Calibri"/>
          <w:i w:val="0"/>
          <w:iCs w:val="0"/>
          <w:color w:val="auto"/>
          <w:sz w:val="20"/>
          <w:szCs w:val="20"/>
        </w:rPr>
        <w:t>-Cy5 NPs. RAW 264.7 macrophages (100,000 cells/well in 96-well plates) were treated with S-Au@SiO</w:t>
      </w:r>
      <w:r w:rsidR="009A1F43" w:rsidRPr="0088142B">
        <w:rPr>
          <w:rFonts w:ascii="Calibri" w:hAnsi="Calibri" w:cs="Calibri"/>
          <w:i w:val="0"/>
          <w:iCs w:val="0"/>
          <w:color w:val="auto"/>
          <w:sz w:val="20"/>
          <w:szCs w:val="20"/>
          <w:vertAlign w:val="subscript"/>
        </w:rPr>
        <w:t>2</w:t>
      </w:r>
      <w:r w:rsidR="009A1F43" w:rsidRPr="0088142B">
        <w:rPr>
          <w:rFonts w:ascii="Calibri" w:hAnsi="Calibri" w:cs="Calibri"/>
          <w:i w:val="0"/>
          <w:iCs w:val="0"/>
          <w:color w:val="auto"/>
          <w:sz w:val="20"/>
          <w:szCs w:val="20"/>
        </w:rPr>
        <w:t>-Cy5 NPs at concentrations of 10, 20, 50, and 100 µg/mL for 24 h in complete RPMI medium. Untreated cells served as negative control (N Control), and cells treated with 0.2% Triton X-100 served as positive control (P Control, representing 100% LDH release). All S-Au@SiO</w:t>
      </w:r>
      <w:r w:rsidR="009A1F43" w:rsidRPr="0088142B">
        <w:rPr>
          <w:rFonts w:ascii="Calibri" w:hAnsi="Calibri" w:cs="Calibri"/>
          <w:i w:val="0"/>
          <w:iCs w:val="0"/>
          <w:color w:val="auto"/>
          <w:sz w:val="20"/>
          <w:szCs w:val="20"/>
          <w:vertAlign w:val="subscript"/>
        </w:rPr>
        <w:t>2</w:t>
      </w:r>
      <w:r w:rsidR="009A1F43" w:rsidRPr="0088142B">
        <w:rPr>
          <w:rFonts w:ascii="Calibri" w:hAnsi="Calibri" w:cs="Calibri"/>
          <w:i w:val="0"/>
          <w:iCs w:val="0"/>
          <w:color w:val="auto"/>
          <w:sz w:val="20"/>
          <w:szCs w:val="20"/>
        </w:rPr>
        <w:t>-Cy5 NP treatments (rows B-E) showed &lt;10% LDH release, comparable to negative controls and substantially lower than positive controls. Each condition was tested in triplicate within each experiment, with data representing 9 values pooled from 3 independent replicated experiments (n = 3 biological replicates, technical triplicates per replicate). Error bars represent standard deviation. LDH release was quantified by measuring absorbance at 490 nm using a microplate reader after 24 h incubation.</w:t>
      </w:r>
    </w:p>
    <w:p w14:paraId="79EE8006" w14:textId="77777777" w:rsidR="00FE4047" w:rsidRPr="0088142B" w:rsidRDefault="00FE4047" w:rsidP="00FE4047">
      <w:pPr>
        <w:pStyle w:val="Caption"/>
        <w:rPr>
          <w:rFonts w:ascii="Calibri" w:hAnsi="Calibri" w:cs="Calibri"/>
          <w:i w:val="0"/>
          <w:iCs w:val="0"/>
          <w:color w:val="auto"/>
          <w:sz w:val="20"/>
          <w:szCs w:val="20"/>
        </w:rPr>
      </w:pPr>
    </w:p>
    <w:p w14:paraId="1E9E0B39" w14:textId="77777777" w:rsidR="00BB6F9F" w:rsidRPr="0088142B" w:rsidRDefault="00BB6F9F" w:rsidP="008C747C">
      <w:pPr>
        <w:pStyle w:val="Caption"/>
        <w:rPr>
          <w:rFonts w:ascii="Calibri" w:hAnsi="Calibri" w:cs="Calibri"/>
          <w:i w:val="0"/>
          <w:iCs w:val="0"/>
          <w:color w:val="auto"/>
          <w:sz w:val="20"/>
          <w:szCs w:val="20"/>
        </w:rPr>
      </w:pPr>
    </w:p>
    <w:p w14:paraId="505A3C04" w14:textId="77777777" w:rsidR="00BB6F9F" w:rsidRPr="0088142B" w:rsidRDefault="00BB6F9F">
      <w:pPr>
        <w:widowControl/>
        <w:wordWrap/>
        <w:autoSpaceDE/>
        <w:autoSpaceDN/>
        <w:rPr>
          <w:rFonts w:ascii="Calibri" w:hAnsi="Calibri" w:cs="Calibri"/>
          <w:szCs w:val="20"/>
        </w:rPr>
      </w:pPr>
      <w:r w:rsidRPr="0088142B">
        <w:rPr>
          <w:rFonts w:ascii="Calibri" w:hAnsi="Calibri" w:cs="Calibri"/>
          <w:i/>
          <w:iCs/>
          <w:szCs w:val="20"/>
        </w:rPr>
        <w:br w:type="page"/>
      </w:r>
    </w:p>
    <w:p w14:paraId="30BD401E" w14:textId="77777777" w:rsidR="00BB6F9F" w:rsidRPr="0088142B" w:rsidRDefault="00BB6F9F" w:rsidP="00BB6F9F">
      <w:pPr>
        <w:keepNext/>
        <w:rPr>
          <w:rFonts w:ascii="Calibri" w:hAnsi="Calibri" w:cs="Calibri"/>
        </w:rPr>
      </w:pPr>
      <w:r w:rsidRPr="0088142B">
        <w:rPr>
          <w:rFonts w:ascii="Calibri" w:hAnsi="Calibri" w:cs="Calibri"/>
          <w:noProof/>
        </w:rPr>
        <w:lastRenderedPageBreak/>
        <w:drawing>
          <wp:inline distT="0" distB="0" distL="0" distR="0" wp14:anchorId="3F212A8F" wp14:editId="766A824B">
            <wp:extent cx="5730708" cy="3754581"/>
            <wp:effectExtent l="0" t="0" r="3810" b="0"/>
            <wp:docPr id="556589155" name="Graphic 6" descr="A diagram of a diagram&#10;&#10;AI-generated content may be incorrect.">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589155" name="Graphic 6" descr="A diagram of a diagram&#10;&#10;AI-generated content may be incorrect.">
                      <a:extLst>
                        <a:ext uri="{FF2B5EF4-FFF2-40B4-BE49-F238E27FC236}">
                          <a16:creationId xmlns:a16="http://schemas.microsoft.com/office/drawing/2014/main" id="{AD4F1BD5-2A52-584B-A088-43EE8C460F35}"/>
                        </a:ext>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l="846" t="13339" r="-846" b="41303"/>
                    <a:stretch/>
                  </pic:blipFill>
                  <pic:spPr bwMode="auto">
                    <a:xfrm>
                      <a:off x="0" y="0"/>
                      <a:ext cx="5731510" cy="3755106"/>
                    </a:xfrm>
                    <a:prstGeom prst="rect">
                      <a:avLst/>
                    </a:prstGeom>
                    <a:ln>
                      <a:noFill/>
                    </a:ln>
                    <a:extLst>
                      <a:ext uri="{53640926-AAD7-44D8-BBD7-CCE9431645EC}">
                        <a14:shadowObscured xmlns:a14="http://schemas.microsoft.com/office/drawing/2010/main"/>
                      </a:ext>
                    </a:extLst>
                  </pic:spPr>
                </pic:pic>
              </a:graphicData>
            </a:graphic>
          </wp:inline>
        </w:drawing>
      </w:r>
    </w:p>
    <w:p w14:paraId="6751907E" w14:textId="59DE594A" w:rsidR="00BB6F9F" w:rsidRPr="0088142B" w:rsidRDefault="00BB6F9F" w:rsidP="00BB6F9F">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w:t>
      </w:r>
      <w:r w:rsidR="00EF4C5C" w:rsidRPr="0088142B">
        <w:rPr>
          <w:rFonts w:ascii="Calibri" w:hAnsi="Calibri" w:cs="Calibri"/>
          <w:b/>
          <w:bCs/>
          <w:i w:val="0"/>
          <w:iCs w:val="0"/>
          <w:color w:val="auto"/>
          <w:sz w:val="20"/>
          <w:szCs w:val="20"/>
        </w:rPr>
        <w:t>9</w:t>
      </w:r>
      <w:r w:rsidRPr="0088142B">
        <w:rPr>
          <w:rFonts w:ascii="Calibri" w:hAnsi="Calibri" w:cs="Calibri"/>
          <w:i w:val="0"/>
          <w:iCs w:val="0"/>
          <w:color w:val="auto"/>
          <w:sz w:val="20"/>
          <w:szCs w:val="20"/>
        </w:rPr>
        <w:t xml:space="preserve">. </w:t>
      </w:r>
      <w:r w:rsidR="008D5107" w:rsidRPr="0088142B">
        <w:rPr>
          <w:rFonts w:ascii="Calibri" w:hAnsi="Calibri" w:cs="Calibri"/>
          <w:i w:val="0"/>
          <w:iCs w:val="0"/>
          <w:color w:val="auto"/>
          <w:sz w:val="20"/>
          <w:szCs w:val="20"/>
        </w:rPr>
        <w:t xml:space="preserve">Segmentation-based quantification method for shell-to-core area ratio analysis. TEM images were segmented using </w:t>
      </w:r>
      <w:proofErr w:type="spellStart"/>
      <w:r w:rsidR="008D5107" w:rsidRPr="0088142B">
        <w:rPr>
          <w:rFonts w:ascii="Calibri" w:hAnsi="Calibri" w:cs="Calibri"/>
          <w:i w:val="0"/>
          <w:iCs w:val="0"/>
          <w:color w:val="auto"/>
          <w:sz w:val="20"/>
          <w:szCs w:val="20"/>
        </w:rPr>
        <w:t>Ilastik</w:t>
      </w:r>
      <w:proofErr w:type="spellEnd"/>
      <w:r w:rsidR="008D5107" w:rsidRPr="0088142B">
        <w:rPr>
          <w:rFonts w:ascii="Calibri" w:hAnsi="Calibri" w:cs="Calibri"/>
          <w:i w:val="0"/>
          <w:iCs w:val="0"/>
          <w:color w:val="auto"/>
          <w:sz w:val="20"/>
          <w:szCs w:val="20"/>
        </w:rPr>
        <w:t xml:space="preserve"> machine-learning software to classify pixels into three categories: background (yellow), silica shells (red), and Au cores (blue). Segmented images were processed in Fiji to separate shells and cores by contrast thresholding, enabling precise area measurements. This approach was adopted because conventional Feret diameter analysis inadequately captures irregular shell morphology changes during dissolution. Shell-to-core area ratios calculated by this method provide a quantitative assessment of structural stability over time in cRPMI.</w:t>
      </w:r>
    </w:p>
    <w:p w14:paraId="3CDAB2AF" w14:textId="77777777" w:rsidR="008C747C" w:rsidRPr="0088142B" w:rsidRDefault="008C747C" w:rsidP="008C747C">
      <w:pPr>
        <w:pStyle w:val="Caption"/>
        <w:rPr>
          <w:rFonts w:ascii="Calibri" w:hAnsi="Calibri" w:cs="Calibri"/>
          <w:i w:val="0"/>
          <w:iCs w:val="0"/>
          <w:color w:val="auto"/>
          <w:sz w:val="20"/>
          <w:szCs w:val="20"/>
        </w:rPr>
      </w:pPr>
    </w:p>
    <w:p w14:paraId="50CB2018" w14:textId="77777777" w:rsidR="008D32B1" w:rsidRPr="0088142B" w:rsidRDefault="008D32B1">
      <w:pPr>
        <w:widowControl/>
        <w:wordWrap/>
        <w:autoSpaceDE/>
        <w:autoSpaceDN/>
        <w:rPr>
          <w:rFonts w:ascii="Calibri" w:hAnsi="Calibri" w:cs="Calibri"/>
        </w:rPr>
      </w:pPr>
      <w:r w:rsidRPr="0088142B">
        <w:rPr>
          <w:rFonts w:ascii="Calibri" w:hAnsi="Calibri" w:cs="Calibri"/>
        </w:rPr>
        <w:br w:type="page"/>
      </w:r>
    </w:p>
    <w:p w14:paraId="2C311090" w14:textId="60FDCCF1" w:rsidR="008C747C" w:rsidRPr="0088142B" w:rsidRDefault="008C747C" w:rsidP="00AB08D7">
      <w:pPr>
        <w:widowControl/>
        <w:wordWrap/>
        <w:autoSpaceDE/>
        <w:autoSpaceDN/>
        <w:rPr>
          <w:rFonts w:ascii="Calibri" w:hAnsi="Calibri" w:cs="Calibri"/>
        </w:rPr>
      </w:pPr>
      <w:r w:rsidRPr="0088142B">
        <w:rPr>
          <w:rFonts w:ascii="Calibri" w:hAnsi="Calibri" w:cs="Calibri"/>
          <w:noProof/>
        </w:rPr>
        <w:lastRenderedPageBreak/>
        <w:drawing>
          <wp:inline distT="0" distB="0" distL="0" distR="0" wp14:anchorId="6CC5A0C7" wp14:editId="61B652CE">
            <wp:extent cx="5731510" cy="2410690"/>
            <wp:effectExtent l="0" t="0" r="2540" b="8890"/>
            <wp:docPr id="1299494372" name="Graphic 6">
              <a:extLst xmlns:a="http://schemas.openxmlformats.org/drawingml/2006/main">
                <a:ext uri="{FF2B5EF4-FFF2-40B4-BE49-F238E27FC236}">
                  <a16:creationId xmlns:a16="http://schemas.microsoft.com/office/drawing/2014/main" id="{AD4F1BD5-2A52-584B-A088-43EE8C46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494372" name="Graphic 6">
                      <a:extLst>
                        <a:ext uri="{FF2B5EF4-FFF2-40B4-BE49-F238E27FC236}">
                          <a16:creationId xmlns:a16="http://schemas.microsoft.com/office/drawing/2014/main" id="{AD4F1BD5-2A52-584B-A088-43EE8C460F35}"/>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t="11791" b="59091"/>
                    <a:stretch/>
                  </pic:blipFill>
                  <pic:spPr bwMode="auto">
                    <a:xfrm>
                      <a:off x="0" y="0"/>
                      <a:ext cx="5731510" cy="2410690"/>
                    </a:xfrm>
                    <a:prstGeom prst="rect">
                      <a:avLst/>
                    </a:prstGeom>
                    <a:ln>
                      <a:noFill/>
                    </a:ln>
                    <a:extLst>
                      <a:ext uri="{53640926-AAD7-44D8-BBD7-CCE9431645EC}">
                        <a14:shadowObscured xmlns:a14="http://schemas.microsoft.com/office/drawing/2010/main"/>
                      </a:ext>
                    </a:extLst>
                  </pic:spPr>
                </pic:pic>
              </a:graphicData>
            </a:graphic>
          </wp:inline>
        </w:drawing>
      </w:r>
    </w:p>
    <w:p w14:paraId="71553455" w14:textId="060F4B24" w:rsidR="00BB6F9F" w:rsidRPr="0088142B" w:rsidRDefault="008C747C" w:rsidP="008C747C">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w:t>
      </w:r>
      <w:r w:rsidR="00EF4C5C" w:rsidRPr="0088142B">
        <w:rPr>
          <w:rFonts w:ascii="Calibri" w:hAnsi="Calibri" w:cs="Calibri"/>
          <w:b/>
          <w:bCs/>
          <w:i w:val="0"/>
          <w:iCs w:val="0"/>
          <w:color w:val="auto"/>
          <w:sz w:val="20"/>
          <w:szCs w:val="20"/>
        </w:rPr>
        <w:t>10</w:t>
      </w:r>
      <w:r w:rsidRPr="0088142B">
        <w:rPr>
          <w:rFonts w:ascii="Calibri" w:hAnsi="Calibri" w:cs="Calibri"/>
          <w:i w:val="0"/>
          <w:iCs w:val="0"/>
          <w:color w:val="auto"/>
          <w:sz w:val="20"/>
          <w:szCs w:val="20"/>
        </w:rPr>
        <w:t xml:space="preserve">. </w:t>
      </w:r>
      <w:r w:rsidR="008D5107" w:rsidRPr="0088142B">
        <w:rPr>
          <w:rFonts w:ascii="Calibri" w:hAnsi="Calibri" w:cs="Calibri"/>
          <w:i w:val="0"/>
          <w:iCs w:val="0"/>
          <w:color w:val="auto"/>
          <w:sz w:val="20"/>
          <w:szCs w:val="20"/>
        </w:rPr>
        <w:t>Quantitative stability analysis of fluorescent Au@SiO</w:t>
      </w:r>
      <w:r w:rsidR="008D5107" w:rsidRPr="0088142B">
        <w:rPr>
          <w:rFonts w:ascii="Calibri" w:hAnsi="Calibri" w:cs="Calibri"/>
          <w:i w:val="0"/>
          <w:iCs w:val="0"/>
          <w:color w:val="auto"/>
          <w:sz w:val="20"/>
          <w:szCs w:val="20"/>
          <w:vertAlign w:val="subscript"/>
        </w:rPr>
        <w:t>2</w:t>
      </w:r>
      <w:r w:rsidR="008D5107" w:rsidRPr="0088142B">
        <w:rPr>
          <w:rFonts w:ascii="Calibri" w:hAnsi="Calibri" w:cs="Calibri"/>
          <w:i w:val="0"/>
          <w:iCs w:val="0"/>
          <w:color w:val="auto"/>
          <w:sz w:val="20"/>
          <w:szCs w:val="20"/>
        </w:rPr>
        <w:t xml:space="preserve"> NPs in complete RPMI medium. (a) Time-dependent changes in shell-to-core area ratios measured by segmentation analysis (Figure S6). Non-calcined (black) and liquid-phase calcined (red) NPs showed progressive shell loss, reaching near-zero ratios by 6-16 h, whereas solid-phase calcined NPs (blue) maintained stable ratios (~6) throughout 24 h. Error bars represent the standard deviation from three independent measurements. (b) Fluorescence emission spectra (</w:t>
      </w:r>
      <w:proofErr w:type="spellStart"/>
      <w:r w:rsidR="008D5107" w:rsidRPr="0088142B">
        <w:rPr>
          <w:rFonts w:ascii="Calibri" w:hAnsi="Calibri" w:cs="Calibri"/>
          <w:i w:val="0"/>
          <w:iCs w:val="0"/>
          <w:color w:val="auto"/>
          <w:sz w:val="20"/>
          <w:szCs w:val="20"/>
        </w:rPr>
        <w:t>λex</w:t>
      </w:r>
      <w:proofErr w:type="spellEnd"/>
      <w:r w:rsidR="008D5107" w:rsidRPr="0088142B">
        <w:rPr>
          <w:rFonts w:ascii="Calibri" w:hAnsi="Calibri" w:cs="Calibri"/>
          <w:i w:val="0"/>
          <w:iCs w:val="0"/>
          <w:color w:val="auto"/>
          <w:sz w:val="20"/>
          <w:szCs w:val="20"/>
        </w:rPr>
        <w:t xml:space="preserve"> = 630 nm) after 24 h incubation in cRPMI. Only solid-phase calcined NPs (blue) retained Cy5 fluorescence, while non-calcined (black) and liquid-phase calcined (red) samples showed complete fluorescence loss, consistent with structural degradation observed in panel (a). These results demonstrate that the shell-to-core area ratio is a reliable quantitative indicator of both structural and functional stability.</w:t>
      </w:r>
    </w:p>
    <w:p w14:paraId="17DFDF4D" w14:textId="77777777" w:rsidR="00BB6F9F" w:rsidRPr="0088142B" w:rsidRDefault="00BB6F9F">
      <w:pPr>
        <w:widowControl/>
        <w:wordWrap/>
        <w:autoSpaceDE/>
        <w:autoSpaceDN/>
        <w:rPr>
          <w:rFonts w:ascii="Calibri" w:hAnsi="Calibri" w:cs="Calibri"/>
          <w:szCs w:val="20"/>
        </w:rPr>
      </w:pPr>
      <w:r w:rsidRPr="0088142B">
        <w:rPr>
          <w:rFonts w:ascii="Calibri" w:hAnsi="Calibri" w:cs="Calibri"/>
          <w:i/>
          <w:iCs/>
          <w:szCs w:val="20"/>
        </w:rPr>
        <w:br w:type="page"/>
      </w:r>
    </w:p>
    <w:p w14:paraId="02865894" w14:textId="0BC7571F" w:rsidR="00BB6F9F" w:rsidRPr="0088142B" w:rsidRDefault="00BB6F9F" w:rsidP="00BB6F9F">
      <w:pPr>
        <w:pStyle w:val="Caption"/>
        <w:rPr>
          <w:rFonts w:ascii="Calibri" w:hAnsi="Calibri" w:cs="Calibri"/>
          <w:i w:val="0"/>
          <w:iCs w:val="0"/>
          <w:color w:val="auto"/>
          <w:sz w:val="24"/>
          <w:szCs w:val="24"/>
        </w:rPr>
      </w:pPr>
      <w:r w:rsidRPr="0088142B">
        <w:rPr>
          <w:rFonts w:ascii="Calibri" w:hAnsi="Calibri" w:cs="Calibri"/>
          <w:b/>
          <w:bCs/>
          <w:i w:val="0"/>
          <w:iCs w:val="0"/>
          <w:color w:val="auto"/>
          <w:sz w:val="24"/>
          <w:szCs w:val="24"/>
        </w:rPr>
        <w:lastRenderedPageBreak/>
        <w:t>Table S2</w:t>
      </w:r>
      <w:r w:rsidRPr="0088142B">
        <w:rPr>
          <w:rFonts w:ascii="Calibri" w:hAnsi="Calibri" w:cs="Calibri"/>
          <w:i w:val="0"/>
          <w:iCs w:val="0"/>
          <w:color w:val="auto"/>
          <w:sz w:val="24"/>
          <w:szCs w:val="24"/>
        </w:rPr>
        <w:t xml:space="preserve">. </w:t>
      </w:r>
      <w:r w:rsidR="00D5003B" w:rsidRPr="0088142B">
        <w:rPr>
          <w:rFonts w:ascii="Calibri" w:hAnsi="Calibri" w:cs="Calibri"/>
          <w:i w:val="0"/>
          <w:iCs w:val="0"/>
          <w:color w:val="auto"/>
          <w:sz w:val="24"/>
          <w:szCs w:val="24"/>
        </w:rPr>
        <w:t>Shell-to-core area ratios of the fluorescent Au@SiO</w:t>
      </w:r>
      <w:r w:rsidR="00D5003B" w:rsidRPr="0088142B">
        <w:rPr>
          <w:rFonts w:ascii="Calibri" w:hAnsi="Calibri" w:cs="Calibri"/>
          <w:i w:val="0"/>
          <w:iCs w:val="0"/>
          <w:color w:val="auto"/>
          <w:sz w:val="24"/>
          <w:szCs w:val="24"/>
          <w:vertAlign w:val="subscript"/>
        </w:rPr>
        <w:t>2</w:t>
      </w:r>
      <w:r w:rsidR="00D5003B" w:rsidRPr="0088142B">
        <w:rPr>
          <w:rFonts w:ascii="Calibri" w:hAnsi="Calibri" w:cs="Calibri"/>
          <w:i w:val="0"/>
          <w:iCs w:val="0"/>
          <w:color w:val="auto"/>
          <w:sz w:val="24"/>
          <w:szCs w:val="24"/>
        </w:rPr>
        <w:t xml:space="preserve"> NPs under different calcination conditions</w:t>
      </w:r>
    </w:p>
    <w:tbl>
      <w:tblPr>
        <w:tblW w:w="8931" w:type="dxa"/>
        <w:tblCellMar>
          <w:left w:w="0" w:type="dxa"/>
          <w:right w:w="0" w:type="dxa"/>
        </w:tblCellMar>
        <w:tblLook w:val="0420" w:firstRow="1" w:lastRow="0" w:firstColumn="0" w:lastColumn="0" w:noHBand="0" w:noVBand="1"/>
      </w:tblPr>
      <w:tblGrid>
        <w:gridCol w:w="1769"/>
        <w:gridCol w:w="1167"/>
        <w:gridCol w:w="183"/>
        <w:gridCol w:w="1984"/>
        <w:gridCol w:w="1985"/>
        <w:gridCol w:w="1843"/>
      </w:tblGrid>
      <w:tr w:rsidR="007A06C1" w:rsidRPr="0088142B" w14:paraId="1D7E8EC7" w14:textId="30EB8992" w:rsidTr="00F77FEE">
        <w:trPr>
          <w:trHeight w:val="87"/>
        </w:trPr>
        <w:tc>
          <w:tcPr>
            <w:tcW w:w="1769" w:type="dxa"/>
            <w:tcBorders>
              <w:top w:val="single" w:sz="8" w:space="0" w:color="000000"/>
              <w:left w:val="nil"/>
              <w:bottom w:val="single" w:sz="8" w:space="0" w:color="000000"/>
              <w:right w:val="nil"/>
            </w:tcBorders>
            <w:tcMar>
              <w:top w:w="72" w:type="dxa"/>
              <w:left w:w="144" w:type="dxa"/>
              <w:bottom w:w="72" w:type="dxa"/>
              <w:right w:w="144" w:type="dxa"/>
            </w:tcMar>
            <w:vAlign w:val="center"/>
            <w:hideMark/>
          </w:tcPr>
          <w:p w14:paraId="7700E3CE" w14:textId="48D57E98" w:rsidR="007A06C1" w:rsidRPr="0088142B" w:rsidRDefault="007A06C1" w:rsidP="00F77FEE">
            <w:pPr>
              <w:widowControl/>
              <w:wordWrap/>
              <w:autoSpaceDE/>
              <w:autoSpaceDN/>
              <w:spacing w:after="0" w:line="240" w:lineRule="auto"/>
              <w:jc w:val="center"/>
              <w:rPr>
                <w:rFonts w:ascii="Calibri" w:eastAsia="Times New Roman" w:hAnsi="Calibri" w:cs="Calibri"/>
                <w:b/>
                <w:bCs/>
                <w:kern w:val="0"/>
                <w:sz w:val="36"/>
                <w:szCs w:val="36"/>
              </w:rPr>
            </w:pPr>
            <w:r w:rsidRPr="0088142B">
              <w:rPr>
                <w:rFonts w:ascii="Calibri" w:eastAsia="Times New Roman" w:hAnsi="Calibri" w:cs="Calibri"/>
                <w:b/>
                <w:bCs/>
                <w:color w:val="000000" w:themeColor="text1"/>
                <w:kern w:val="24"/>
                <w:sz w:val="24"/>
                <w:szCs w:val="24"/>
              </w:rPr>
              <w:t>Fluorescent Au@SiO</w:t>
            </w:r>
            <w:r w:rsidRPr="0088142B">
              <w:rPr>
                <w:rFonts w:ascii="Calibri" w:eastAsia="Times New Roman" w:hAnsi="Calibri" w:cs="Calibri"/>
                <w:b/>
                <w:bCs/>
                <w:color w:val="000000" w:themeColor="text1"/>
                <w:kern w:val="24"/>
                <w:sz w:val="24"/>
                <w:szCs w:val="24"/>
                <w:vertAlign w:val="subscript"/>
              </w:rPr>
              <w:t>2</w:t>
            </w:r>
            <w:r w:rsidRPr="0088142B">
              <w:rPr>
                <w:rFonts w:ascii="Calibri" w:eastAsia="Times New Roman" w:hAnsi="Calibri" w:cs="Calibri"/>
                <w:b/>
                <w:bCs/>
                <w:color w:val="000000" w:themeColor="text1"/>
                <w:kern w:val="24"/>
                <w:sz w:val="24"/>
                <w:szCs w:val="24"/>
              </w:rPr>
              <w:t xml:space="preserve"> NPs</w:t>
            </w:r>
          </w:p>
        </w:tc>
        <w:tc>
          <w:tcPr>
            <w:tcW w:w="1350" w:type="dxa"/>
            <w:gridSpan w:val="2"/>
            <w:tcBorders>
              <w:top w:val="single" w:sz="8" w:space="0" w:color="000000"/>
              <w:left w:val="nil"/>
              <w:bottom w:val="single" w:sz="8" w:space="0" w:color="000000"/>
              <w:right w:val="nil"/>
            </w:tcBorders>
            <w:tcMar>
              <w:top w:w="72" w:type="dxa"/>
              <w:left w:w="144" w:type="dxa"/>
              <w:bottom w:w="72" w:type="dxa"/>
              <w:right w:w="144" w:type="dxa"/>
            </w:tcMar>
            <w:vAlign w:val="center"/>
            <w:hideMark/>
          </w:tcPr>
          <w:p w14:paraId="78303EF6" w14:textId="2DE56BB2" w:rsidR="007A06C1" w:rsidRPr="0088142B" w:rsidRDefault="007A06C1" w:rsidP="00F77FEE">
            <w:pPr>
              <w:widowControl/>
              <w:wordWrap/>
              <w:autoSpaceDE/>
              <w:autoSpaceDN/>
              <w:spacing w:after="0" w:line="240" w:lineRule="auto"/>
              <w:jc w:val="center"/>
              <w:rPr>
                <w:rFonts w:ascii="Calibri" w:eastAsia="Times New Roman" w:hAnsi="Calibri" w:cs="Calibri"/>
                <w:b/>
                <w:bCs/>
                <w:kern w:val="0"/>
                <w:sz w:val="36"/>
                <w:szCs w:val="36"/>
              </w:rPr>
            </w:pPr>
            <w:r w:rsidRPr="0088142B">
              <w:rPr>
                <w:rFonts w:ascii="Calibri" w:eastAsia="Times New Roman" w:hAnsi="Calibri" w:cs="Calibri"/>
                <w:b/>
                <w:bCs/>
                <w:color w:val="000000" w:themeColor="text1"/>
                <w:kern w:val="24"/>
                <w:sz w:val="24"/>
                <w:szCs w:val="24"/>
              </w:rPr>
              <w:t>Time (h)</w:t>
            </w:r>
          </w:p>
        </w:tc>
        <w:tc>
          <w:tcPr>
            <w:tcW w:w="1984" w:type="dxa"/>
            <w:tcBorders>
              <w:top w:val="single" w:sz="8" w:space="0" w:color="000000"/>
              <w:left w:val="nil"/>
              <w:bottom w:val="single" w:sz="8" w:space="0" w:color="000000"/>
              <w:right w:val="nil"/>
            </w:tcBorders>
            <w:tcMar>
              <w:top w:w="72" w:type="dxa"/>
              <w:left w:w="144" w:type="dxa"/>
              <w:bottom w:w="72" w:type="dxa"/>
              <w:right w:w="144" w:type="dxa"/>
            </w:tcMar>
            <w:vAlign w:val="center"/>
            <w:hideMark/>
          </w:tcPr>
          <w:p w14:paraId="6DEC4E23" w14:textId="70220802" w:rsidR="007A06C1" w:rsidRPr="0088142B" w:rsidRDefault="007A06C1" w:rsidP="00F77FEE">
            <w:pPr>
              <w:widowControl/>
              <w:wordWrap/>
              <w:autoSpaceDE/>
              <w:autoSpaceDN/>
              <w:spacing w:after="0" w:line="240" w:lineRule="auto"/>
              <w:jc w:val="center"/>
              <w:rPr>
                <w:rFonts w:ascii="Calibri" w:eastAsia="Times New Roman" w:hAnsi="Calibri" w:cs="Calibri"/>
                <w:b/>
                <w:bCs/>
                <w:kern w:val="0"/>
                <w:sz w:val="36"/>
                <w:szCs w:val="36"/>
              </w:rPr>
            </w:pPr>
            <w:r w:rsidRPr="0088142B">
              <w:rPr>
                <w:rFonts w:ascii="Calibri" w:eastAsia="Times New Roman" w:hAnsi="Calibri" w:cs="Calibri"/>
                <w:b/>
                <w:bCs/>
                <w:color w:val="000000" w:themeColor="text1"/>
                <w:kern w:val="24"/>
                <w:sz w:val="24"/>
                <w:szCs w:val="24"/>
              </w:rPr>
              <w:t>Core-shell ratio</w:t>
            </w:r>
          </w:p>
        </w:tc>
        <w:tc>
          <w:tcPr>
            <w:tcW w:w="1985" w:type="dxa"/>
            <w:tcBorders>
              <w:top w:val="single" w:sz="8" w:space="0" w:color="000000"/>
              <w:left w:val="nil"/>
              <w:bottom w:val="single" w:sz="8" w:space="0" w:color="000000"/>
              <w:right w:val="nil"/>
            </w:tcBorders>
            <w:vAlign w:val="center"/>
          </w:tcPr>
          <w:p w14:paraId="6B655407" w14:textId="3AE6085B" w:rsidR="007A06C1" w:rsidRPr="0088142B" w:rsidRDefault="007A06C1" w:rsidP="00F77FEE">
            <w:pPr>
              <w:widowControl/>
              <w:wordWrap/>
              <w:autoSpaceDE/>
              <w:autoSpaceDN/>
              <w:spacing w:after="0" w:line="240" w:lineRule="auto"/>
              <w:jc w:val="center"/>
              <w:rPr>
                <w:rFonts w:ascii="Calibri" w:eastAsia="Times New Roman" w:hAnsi="Calibri" w:cs="Calibri"/>
                <w:b/>
                <w:bCs/>
                <w:color w:val="000000" w:themeColor="text1"/>
                <w:kern w:val="24"/>
                <w:sz w:val="24"/>
                <w:szCs w:val="24"/>
              </w:rPr>
            </w:pPr>
            <w:r w:rsidRPr="0088142B">
              <w:rPr>
                <w:rFonts w:ascii="Calibri" w:eastAsia="Times New Roman" w:hAnsi="Calibri" w:cs="Calibri"/>
                <w:b/>
                <w:bCs/>
                <w:color w:val="000000" w:themeColor="text1"/>
                <w:kern w:val="24"/>
                <w:sz w:val="24"/>
                <w:szCs w:val="24"/>
              </w:rPr>
              <w:t>Variability (CV%)</w:t>
            </w:r>
          </w:p>
        </w:tc>
        <w:tc>
          <w:tcPr>
            <w:tcW w:w="1843" w:type="dxa"/>
            <w:tcBorders>
              <w:top w:val="single" w:sz="8" w:space="0" w:color="000000"/>
              <w:left w:val="nil"/>
              <w:bottom w:val="single" w:sz="8" w:space="0" w:color="000000"/>
              <w:right w:val="nil"/>
            </w:tcBorders>
            <w:vAlign w:val="center"/>
          </w:tcPr>
          <w:p w14:paraId="57096354" w14:textId="29F2BEFB" w:rsidR="007A06C1" w:rsidRPr="0088142B" w:rsidRDefault="007A06C1" w:rsidP="00F77FEE">
            <w:pPr>
              <w:widowControl/>
              <w:wordWrap/>
              <w:autoSpaceDE/>
              <w:autoSpaceDN/>
              <w:spacing w:after="0" w:line="240" w:lineRule="auto"/>
              <w:jc w:val="center"/>
              <w:rPr>
                <w:rFonts w:ascii="Calibri" w:eastAsia="Times New Roman" w:hAnsi="Calibri" w:cs="Calibri"/>
                <w:b/>
                <w:bCs/>
                <w:color w:val="000000" w:themeColor="text1"/>
                <w:kern w:val="24"/>
                <w:sz w:val="24"/>
                <w:szCs w:val="24"/>
              </w:rPr>
            </w:pPr>
            <w:r w:rsidRPr="0088142B">
              <w:rPr>
                <w:rFonts w:ascii="Calibri" w:eastAsia="Times New Roman" w:hAnsi="Calibri" w:cs="Calibri"/>
                <w:b/>
                <w:bCs/>
                <w:color w:val="000000" w:themeColor="text1"/>
                <w:kern w:val="24"/>
                <w:sz w:val="24"/>
                <w:szCs w:val="24"/>
              </w:rPr>
              <w:t>Sample size</w:t>
            </w:r>
          </w:p>
        </w:tc>
      </w:tr>
      <w:tr w:rsidR="007A06C1" w:rsidRPr="0088142B" w14:paraId="213DC380" w14:textId="1E347DB0" w:rsidTr="00F77FEE">
        <w:trPr>
          <w:trHeight w:val="87"/>
        </w:trPr>
        <w:tc>
          <w:tcPr>
            <w:tcW w:w="1769" w:type="dxa"/>
            <w:tcBorders>
              <w:top w:val="single" w:sz="8" w:space="0" w:color="000000"/>
              <w:left w:val="nil"/>
              <w:bottom w:val="nil"/>
              <w:right w:val="nil"/>
            </w:tcBorders>
            <w:tcMar>
              <w:top w:w="72" w:type="dxa"/>
              <w:left w:w="144" w:type="dxa"/>
              <w:bottom w:w="72" w:type="dxa"/>
              <w:right w:w="144" w:type="dxa"/>
            </w:tcMar>
            <w:vAlign w:val="center"/>
            <w:hideMark/>
          </w:tcPr>
          <w:p w14:paraId="1B3817BA" w14:textId="06BF7AC4"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r w:rsidRPr="0088142B">
              <w:rPr>
                <w:rFonts w:ascii="Calibri" w:eastAsia="Times New Roman" w:hAnsi="Calibri" w:cs="Calibri"/>
                <w:color w:val="000000" w:themeColor="text1"/>
                <w:kern w:val="24"/>
                <w:sz w:val="24"/>
                <w:szCs w:val="24"/>
              </w:rPr>
              <w:t>As synthesized</w:t>
            </w:r>
          </w:p>
        </w:tc>
        <w:tc>
          <w:tcPr>
            <w:tcW w:w="1167" w:type="dxa"/>
            <w:tcBorders>
              <w:top w:val="single" w:sz="8" w:space="0" w:color="000000"/>
              <w:left w:val="nil"/>
              <w:bottom w:val="nil"/>
              <w:right w:val="nil"/>
            </w:tcBorders>
            <w:tcMar>
              <w:top w:w="72" w:type="dxa"/>
              <w:left w:w="144" w:type="dxa"/>
              <w:bottom w:w="72" w:type="dxa"/>
              <w:right w:w="144" w:type="dxa"/>
            </w:tcMar>
            <w:vAlign w:val="center"/>
            <w:hideMark/>
          </w:tcPr>
          <w:p w14:paraId="51F2ED39" w14:textId="12F04984"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r w:rsidRPr="0088142B">
              <w:rPr>
                <w:rFonts w:ascii="Calibri" w:hAnsi="Calibri" w:cs="Calibri"/>
                <w:color w:val="000000"/>
                <w:kern w:val="24"/>
                <w:sz w:val="24"/>
                <w:szCs w:val="24"/>
                <w:lang w:val="fr-CH"/>
              </w:rPr>
              <w:t>0</w:t>
            </w:r>
          </w:p>
        </w:tc>
        <w:tc>
          <w:tcPr>
            <w:tcW w:w="2167" w:type="dxa"/>
            <w:gridSpan w:val="2"/>
            <w:tcBorders>
              <w:top w:val="single" w:sz="8" w:space="0" w:color="000000"/>
              <w:left w:val="nil"/>
              <w:bottom w:val="nil"/>
              <w:right w:val="nil"/>
            </w:tcBorders>
            <w:tcMar>
              <w:top w:w="72" w:type="dxa"/>
              <w:left w:w="144" w:type="dxa"/>
              <w:bottom w:w="72" w:type="dxa"/>
              <w:right w:w="144" w:type="dxa"/>
            </w:tcMar>
            <w:vAlign w:val="center"/>
            <w:hideMark/>
          </w:tcPr>
          <w:p w14:paraId="6F837574" w14:textId="718AE1A2"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r w:rsidRPr="0088142B">
              <w:rPr>
                <w:rFonts w:ascii="Calibri" w:eastAsia="Times New Roman" w:hAnsi="Calibri" w:cs="Calibri"/>
                <w:color w:val="000000" w:themeColor="text1"/>
                <w:kern w:val="24"/>
                <w:sz w:val="24"/>
                <w:szCs w:val="24"/>
                <w:lang w:val="fr-CH"/>
              </w:rPr>
              <w:t>14.93 ± 2.58</w:t>
            </w:r>
          </w:p>
        </w:tc>
        <w:tc>
          <w:tcPr>
            <w:tcW w:w="1985" w:type="dxa"/>
            <w:tcBorders>
              <w:top w:val="single" w:sz="8" w:space="0" w:color="000000"/>
              <w:left w:val="nil"/>
              <w:bottom w:val="nil"/>
              <w:right w:val="nil"/>
            </w:tcBorders>
            <w:vAlign w:val="center"/>
          </w:tcPr>
          <w:p w14:paraId="52C13F95" w14:textId="14C71FA8"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17.30</w:t>
            </w:r>
          </w:p>
        </w:tc>
        <w:tc>
          <w:tcPr>
            <w:tcW w:w="1843" w:type="dxa"/>
            <w:tcBorders>
              <w:top w:val="single" w:sz="8" w:space="0" w:color="000000"/>
              <w:left w:val="nil"/>
              <w:bottom w:val="nil"/>
              <w:right w:val="nil"/>
            </w:tcBorders>
            <w:vAlign w:val="center"/>
          </w:tcPr>
          <w:p w14:paraId="5EC67931" w14:textId="7CC321FD"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121 (12)</w:t>
            </w:r>
          </w:p>
        </w:tc>
      </w:tr>
      <w:tr w:rsidR="007A06C1" w:rsidRPr="0088142B" w14:paraId="4FE8A8F9" w14:textId="7F2425BD"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640BF92D" w14:textId="3DB93537"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p>
        </w:tc>
        <w:tc>
          <w:tcPr>
            <w:tcW w:w="1167" w:type="dxa"/>
            <w:tcBorders>
              <w:top w:val="nil"/>
              <w:left w:val="nil"/>
              <w:bottom w:val="nil"/>
              <w:right w:val="nil"/>
            </w:tcBorders>
            <w:tcMar>
              <w:top w:w="72" w:type="dxa"/>
              <w:left w:w="144" w:type="dxa"/>
              <w:bottom w:w="72" w:type="dxa"/>
              <w:right w:w="144" w:type="dxa"/>
            </w:tcMar>
            <w:vAlign w:val="center"/>
            <w:hideMark/>
          </w:tcPr>
          <w:p w14:paraId="3A6319ED" w14:textId="034472F0"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r w:rsidRPr="0088142B">
              <w:rPr>
                <w:rFonts w:ascii="Calibri" w:hAnsi="Calibri" w:cs="Calibri"/>
                <w:color w:val="000000"/>
                <w:kern w:val="24"/>
                <w:sz w:val="24"/>
                <w:szCs w:val="24"/>
                <w:lang w:val="fr-CH"/>
              </w:rPr>
              <w:t>6</w:t>
            </w:r>
          </w:p>
        </w:tc>
        <w:tc>
          <w:tcPr>
            <w:tcW w:w="2167" w:type="dxa"/>
            <w:gridSpan w:val="2"/>
            <w:tcBorders>
              <w:top w:val="nil"/>
              <w:left w:val="nil"/>
              <w:bottom w:val="nil"/>
              <w:right w:val="nil"/>
            </w:tcBorders>
            <w:tcMar>
              <w:top w:w="72" w:type="dxa"/>
              <w:left w:w="144" w:type="dxa"/>
              <w:bottom w:w="72" w:type="dxa"/>
              <w:right w:w="144" w:type="dxa"/>
            </w:tcMar>
            <w:vAlign w:val="center"/>
            <w:hideMark/>
          </w:tcPr>
          <w:p w14:paraId="06E66621" w14:textId="49DB3412"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r w:rsidRPr="0088142B">
              <w:rPr>
                <w:rFonts w:ascii="Calibri" w:eastAsia="Times New Roman" w:hAnsi="Calibri" w:cs="Calibri"/>
                <w:color w:val="000000" w:themeColor="text1"/>
                <w:kern w:val="24"/>
                <w:sz w:val="24"/>
                <w:szCs w:val="24"/>
                <w:lang w:val="fr-CH"/>
              </w:rPr>
              <w:t>0.48 ± 0.47</w:t>
            </w:r>
          </w:p>
        </w:tc>
        <w:tc>
          <w:tcPr>
            <w:tcW w:w="1985" w:type="dxa"/>
            <w:tcBorders>
              <w:top w:val="nil"/>
              <w:left w:val="nil"/>
              <w:bottom w:val="nil"/>
              <w:right w:val="nil"/>
            </w:tcBorders>
            <w:vAlign w:val="center"/>
          </w:tcPr>
          <w:p w14:paraId="553573A7" w14:textId="014D7D28"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25.83</w:t>
            </w:r>
          </w:p>
        </w:tc>
        <w:tc>
          <w:tcPr>
            <w:tcW w:w="1843" w:type="dxa"/>
            <w:tcBorders>
              <w:top w:val="nil"/>
              <w:left w:val="nil"/>
              <w:bottom w:val="nil"/>
              <w:right w:val="nil"/>
            </w:tcBorders>
            <w:vAlign w:val="center"/>
          </w:tcPr>
          <w:p w14:paraId="28C8B4CE" w14:textId="44A168A1"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231 (5)</w:t>
            </w:r>
          </w:p>
        </w:tc>
      </w:tr>
      <w:tr w:rsidR="007A06C1" w:rsidRPr="0088142B" w14:paraId="35050EA8" w14:textId="36CD011A"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75560DEE" w14:textId="053B5F0B"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p>
        </w:tc>
        <w:tc>
          <w:tcPr>
            <w:tcW w:w="1167" w:type="dxa"/>
            <w:tcBorders>
              <w:top w:val="nil"/>
              <w:left w:val="nil"/>
              <w:bottom w:val="nil"/>
              <w:right w:val="nil"/>
            </w:tcBorders>
            <w:tcMar>
              <w:top w:w="72" w:type="dxa"/>
              <w:left w:w="144" w:type="dxa"/>
              <w:bottom w:w="72" w:type="dxa"/>
              <w:right w:w="144" w:type="dxa"/>
            </w:tcMar>
            <w:vAlign w:val="center"/>
            <w:hideMark/>
          </w:tcPr>
          <w:p w14:paraId="01615E93" w14:textId="588F8360"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r w:rsidRPr="0088142B">
              <w:rPr>
                <w:rFonts w:ascii="Calibri" w:hAnsi="Calibri" w:cs="Calibri"/>
                <w:color w:val="000000" w:themeColor="text1"/>
                <w:kern w:val="24"/>
                <w:sz w:val="24"/>
                <w:szCs w:val="24"/>
                <w:lang w:val="fr-CH"/>
              </w:rPr>
              <w:t>16</w:t>
            </w:r>
          </w:p>
        </w:tc>
        <w:tc>
          <w:tcPr>
            <w:tcW w:w="2167" w:type="dxa"/>
            <w:gridSpan w:val="2"/>
            <w:tcBorders>
              <w:top w:val="nil"/>
              <w:left w:val="nil"/>
              <w:bottom w:val="nil"/>
              <w:right w:val="nil"/>
            </w:tcBorders>
            <w:tcMar>
              <w:top w:w="72" w:type="dxa"/>
              <w:left w:w="144" w:type="dxa"/>
              <w:bottom w:w="72" w:type="dxa"/>
              <w:right w:w="144" w:type="dxa"/>
            </w:tcMar>
            <w:vAlign w:val="center"/>
            <w:hideMark/>
          </w:tcPr>
          <w:p w14:paraId="0F75CB4D" w14:textId="6D314C21" w:rsidR="007A06C1" w:rsidRPr="0088142B" w:rsidRDefault="007A06C1" w:rsidP="00F77FEE">
            <w:pPr>
              <w:widowControl/>
              <w:wordWrap/>
              <w:autoSpaceDE/>
              <w:autoSpaceDN/>
              <w:spacing w:after="0" w:line="240" w:lineRule="auto"/>
              <w:jc w:val="center"/>
              <w:rPr>
                <w:rFonts w:ascii="Calibri" w:eastAsia="Times New Roman" w:hAnsi="Calibri" w:cs="Calibri"/>
                <w:kern w:val="0"/>
                <w:sz w:val="24"/>
                <w:szCs w:val="24"/>
              </w:rPr>
            </w:pPr>
            <w:r w:rsidRPr="0088142B">
              <w:rPr>
                <w:rFonts w:ascii="Calibri" w:eastAsia="Times New Roman" w:hAnsi="Calibri" w:cs="Calibri"/>
                <w:color w:val="000000" w:themeColor="text1"/>
                <w:kern w:val="24"/>
                <w:sz w:val="24"/>
                <w:szCs w:val="24"/>
                <w:lang w:val="fr-CH"/>
              </w:rPr>
              <w:t>0</w:t>
            </w:r>
          </w:p>
        </w:tc>
        <w:tc>
          <w:tcPr>
            <w:tcW w:w="1985" w:type="dxa"/>
            <w:tcBorders>
              <w:top w:val="nil"/>
              <w:left w:val="nil"/>
              <w:bottom w:val="nil"/>
              <w:right w:val="nil"/>
            </w:tcBorders>
            <w:vAlign w:val="center"/>
          </w:tcPr>
          <w:p w14:paraId="441D3413" w14:textId="26086C5B"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w:t>
            </w:r>
          </w:p>
        </w:tc>
        <w:tc>
          <w:tcPr>
            <w:tcW w:w="1843" w:type="dxa"/>
            <w:tcBorders>
              <w:top w:val="nil"/>
              <w:left w:val="nil"/>
              <w:bottom w:val="nil"/>
              <w:right w:val="nil"/>
            </w:tcBorders>
            <w:vAlign w:val="center"/>
          </w:tcPr>
          <w:p w14:paraId="71B01A1C" w14:textId="0B650F4D"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w:t>
            </w:r>
          </w:p>
        </w:tc>
      </w:tr>
      <w:tr w:rsidR="007A06C1" w:rsidRPr="0088142B" w14:paraId="0D990979" w14:textId="0BE691F2"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2AFC7AF6" w14:textId="51B9D73A"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p>
        </w:tc>
        <w:tc>
          <w:tcPr>
            <w:tcW w:w="1167" w:type="dxa"/>
            <w:tcBorders>
              <w:top w:val="nil"/>
              <w:left w:val="nil"/>
              <w:bottom w:val="nil"/>
              <w:right w:val="nil"/>
            </w:tcBorders>
            <w:tcMar>
              <w:top w:w="72" w:type="dxa"/>
              <w:left w:w="144" w:type="dxa"/>
              <w:bottom w:w="72" w:type="dxa"/>
              <w:right w:w="144" w:type="dxa"/>
            </w:tcMar>
            <w:vAlign w:val="center"/>
          </w:tcPr>
          <w:p w14:paraId="3305F474" w14:textId="3AC9A917"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themeColor="text1"/>
                <w:kern w:val="24"/>
                <w:sz w:val="24"/>
                <w:szCs w:val="24"/>
                <w:lang w:val="fr-CH"/>
              </w:rPr>
              <w:t>24</w:t>
            </w:r>
          </w:p>
        </w:tc>
        <w:tc>
          <w:tcPr>
            <w:tcW w:w="2167" w:type="dxa"/>
            <w:gridSpan w:val="2"/>
            <w:tcBorders>
              <w:top w:val="nil"/>
              <w:left w:val="nil"/>
              <w:bottom w:val="nil"/>
              <w:right w:val="nil"/>
            </w:tcBorders>
            <w:tcMar>
              <w:top w:w="72" w:type="dxa"/>
              <w:left w:w="144" w:type="dxa"/>
              <w:bottom w:w="72" w:type="dxa"/>
              <w:right w:w="144" w:type="dxa"/>
            </w:tcMar>
            <w:vAlign w:val="center"/>
          </w:tcPr>
          <w:p w14:paraId="067FCBC1" w14:textId="17428CFF"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0</w:t>
            </w:r>
          </w:p>
        </w:tc>
        <w:tc>
          <w:tcPr>
            <w:tcW w:w="1985" w:type="dxa"/>
            <w:tcBorders>
              <w:top w:val="nil"/>
              <w:left w:val="nil"/>
              <w:bottom w:val="nil"/>
              <w:right w:val="nil"/>
            </w:tcBorders>
            <w:vAlign w:val="center"/>
          </w:tcPr>
          <w:p w14:paraId="6FB854C5" w14:textId="5BE8C3ED"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w:t>
            </w:r>
          </w:p>
        </w:tc>
        <w:tc>
          <w:tcPr>
            <w:tcW w:w="1843" w:type="dxa"/>
            <w:tcBorders>
              <w:top w:val="nil"/>
              <w:left w:val="nil"/>
              <w:bottom w:val="nil"/>
              <w:right w:val="nil"/>
            </w:tcBorders>
            <w:vAlign w:val="center"/>
          </w:tcPr>
          <w:p w14:paraId="2779A870" w14:textId="3F08A4C3"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w:t>
            </w:r>
          </w:p>
        </w:tc>
      </w:tr>
      <w:tr w:rsidR="007A06C1" w:rsidRPr="0088142B" w14:paraId="227833D2" w14:textId="013F9B05"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353CA29B" w14:textId="1FEA23C6"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r w:rsidRPr="0088142B">
              <w:rPr>
                <w:rFonts w:ascii="Calibri" w:eastAsia="Times New Roman" w:hAnsi="Calibri" w:cs="Calibri"/>
                <w:color w:val="000000" w:themeColor="text1"/>
                <w:kern w:val="24"/>
                <w:sz w:val="24"/>
                <w:szCs w:val="24"/>
              </w:rPr>
              <w:t>Liquid-phase calcination</w:t>
            </w:r>
          </w:p>
        </w:tc>
        <w:tc>
          <w:tcPr>
            <w:tcW w:w="1167" w:type="dxa"/>
            <w:tcBorders>
              <w:top w:val="nil"/>
              <w:left w:val="nil"/>
              <w:bottom w:val="nil"/>
              <w:right w:val="nil"/>
            </w:tcBorders>
            <w:tcMar>
              <w:top w:w="72" w:type="dxa"/>
              <w:left w:w="144" w:type="dxa"/>
              <w:bottom w:w="72" w:type="dxa"/>
              <w:right w:w="144" w:type="dxa"/>
            </w:tcMar>
            <w:vAlign w:val="center"/>
          </w:tcPr>
          <w:p w14:paraId="7236E8D3" w14:textId="3173BD10"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kern w:val="24"/>
                <w:sz w:val="24"/>
                <w:szCs w:val="24"/>
                <w:lang w:val="fr-CH"/>
              </w:rPr>
              <w:t>0</w:t>
            </w:r>
          </w:p>
        </w:tc>
        <w:tc>
          <w:tcPr>
            <w:tcW w:w="2167" w:type="dxa"/>
            <w:gridSpan w:val="2"/>
            <w:tcBorders>
              <w:top w:val="nil"/>
              <w:left w:val="nil"/>
              <w:bottom w:val="nil"/>
              <w:right w:val="nil"/>
            </w:tcBorders>
            <w:tcMar>
              <w:top w:w="72" w:type="dxa"/>
              <w:left w:w="144" w:type="dxa"/>
              <w:bottom w:w="72" w:type="dxa"/>
              <w:right w:w="144" w:type="dxa"/>
            </w:tcMar>
            <w:vAlign w:val="center"/>
          </w:tcPr>
          <w:p w14:paraId="3F8EE2A9" w14:textId="7803794F"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14.86 ± 1.33</w:t>
            </w:r>
          </w:p>
        </w:tc>
        <w:tc>
          <w:tcPr>
            <w:tcW w:w="1985" w:type="dxa"/>
            <w:tcBorders>
              <w:top w:val="nil"/>
              <w:left w:val="nil"/>
              <w:bottom w:val="nil"/>
              <w:right w:val="nil"/>
            </w:tcBorders>
            <w:vAlign w:val="center"/>
          </w:tcPr>
          <w:p w14:paraId="679A388C" w14:textId="42D3A243"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8.92</w:t>
            </w:r>
          </w:p>
        </w:tc>
        <w:tc>
          <w:tcPr>
            <w:tcW w:w="1843" w:type="dxa"/>
            <w:tcBorders>
              <w:top w:val="nil"/>
              <w:left w:val="nil"/>
              <w:bottom w:val="nil"/>
              <w:right w:val="nil"/>
            </w:tcBorders>
            <w:vAlign w:val="center"/>
          </w:tcPr>
          <w:p w14:paraId="002AC97D" w14:textId="75D85FB4"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127 (6)</w:t>
            </w:r>
          </w:p>
        </w:tc>
      </w:tr>
      <w:tr w:rsidR="007A06C1" w:rsidRPr="0088142B" w14:paraId="78D8513D" w14:textId="04807C82"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3A0D9ED5" w14:textId="77777777"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p>
        </w:tc>
        <w:tc>
          <w:tcPr>
            <w:tcW w:w="1167" w:type="dxa"/>
            <w:tcBorders>
              <w:top w:val="nil"/>
              <w:left w:val="nil"/>
              <w:bottom w:val="nil"/>
              <w:right w:val="nil"/>
            </w:tcBorders>
            <w:tcMar>
              <w:top w:w="72" w:type="dxa"/>
              <w:left w:w="144" w:type="dxa"/>
              <w:bottom w:w="72" w:type="dxa"/>
              <w:right w:w="144" w:type="dxa"/>
            </w:tcMar>
            <w:vAlign w:val="center"/>
          </w:tcPr>
          <w:p w14:paraId="37932466" w14:textId="4028D372"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kern w:val="24"/>
                <w:sz w:val="24"/>
                <w:szCs w:val="24"/>
                <w:lang w:val="fr-CH"/>
              </w:rPr>
              <w:t>6</w:t>
            </w:r>
          </w:p>
        </w:tc>
        <w:tc>
          <w:tcPr>
            <w:tcW w:w="2167" w:type="dxa"/>
            <w:gridSpan w:val="2"/>
            <w:tcBorders>
              <w:top w:val="nil"/>
              <w:left w:val="nil"/>
              <w:bottom w:val="nil"/>
              <w:right w:val="nil"/>
            </w:tcBorders>
            <w:tcMar>
              <w:top w:w="72" w:type="dxa"/>
              <w:left w:w="144" w:type="dxa"/>
              <w:bottom w:w="72" w:type="dxa"/>
              <w:right w:w="144" w:type="dxa"/>
            </w:tcMar>
            <w:vAlign w:val="center"/>
          </w:tcPr>
          <w:p w14:paraId="22E840C9" w14:textId="2A485BC8"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3.65 ± 0.96</w:t>
            </w:r>
          </w:p>
        </w:tc>
        <w:tc>
          <w:tcPr>
            <w:tcW w:w="1985" w:type="dxa"/>
            <w:tcBorders>
              <w:top w:val="nil"/>
              <w:left w:val="nil"/>
              <w:bottom w:val="nil"/>
              <w:right w:val="nil"/>
            </w:tcBorders>
            <w:vAlign w:val="center"/>
          </w:tcPr>
          <w:p w14:paraId="430A2FCB" w14:textId="50F69562"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26.46</w:t>
            </w:r>
          </w:p>
        </w:tc>
        <w:tc>
          <w:tcPr>
            <w:tcW w:w="1843" w:type="dxa"/>
            <w:tcBorders>
              <w:top w:val="nil"/>
              <w:left w:val="nil"/>
              <w:bottom w:val="nil"/>
              <w:right w:val="nil"/>
            </w:tcBorders>
            <w:vAlign w:val="center"/>
          </w:tcPr>
          <w:p w14:paraId="503539C3" w14:textId="2981F747"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123 (6)</w:t>
            </w:r>
          </w:p>
        </w:tc>
      </w:tr>
      <w:tr w:rsidR="007A06C1" w:rsidRPr="0088142B" w14:paraId="56C91571" w14:textId="24F5DA8F"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6EBC0D3F" w14:textId="77777777"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p>
        </w:tc>
        <w:tc>
          <w:tcPr>
            <w:tcW w:w="1167" w:type="dxa"/>
            <w:tcBorders>
              <w:top w:val="nil"/>
              <w:left w:val="nil"/>
              <w:bottom w:val="nil"/>
              <w:right w:val="nil"/>
            </w:tcBorders>
            <w:tcMar>
              <w:top w:w="72" w:type="dxa"/>
              <w:left w:w="144" w:type="dxa"/>
              <w:bottom w:w="72" w:type="dxa"/>
              <w:right w:w="144" w:type="dxa"/>
            </w:tcMar>
            <w:vAlign w:val="center"/>
          </w:tcPr>
          <w:p w14:paraId="3F5529DD" w14:textId="7944A4F0"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themeColor="text1"/>
                <w:kern w:val="24"/>
                <w:sz w:val="24"/>
                <w:szCs w:val="24"/>
                <w:lang w:val="fr-CH"/>
              </w:rPr>
              <w:t>16</w:t>
            </w:r>
          </w:p>
        </w:tc>
        <w:tc>
          <w:tcPr>
            <w:tcW w:w="2167" w:type="dxa"/>
            <w:gridSpan w:val="2"/>
            <w:tcBorders>
              <w:top w:val="nil"/>
              <w:left w:val="nil"/>
              <w:bottom w:val="nil"/>
              <w:right w:val="nil"/>
            </w:tcBorders>
            <w:tcMar>
              <w:top w:w="72" w:type="dxa"/>
              <w:left w:w="144" w:type="dxa"/>
              <w:bottom w:w="72" w:type="dxa"/>
              <w:right w:w="144" w:type="dxa"/>
            </w:tcMar>
            <w:vAlign w:val="center"/>
          </w:tcPr>
          <w:p w14:paraId="4133E66A" w14:textId="236312D9"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0.20 ± 0.03</w:t>
            </w:r>
          </w:p>
        </w:tc>
        <w:tc>
          <w:tcPr>
            <w:tcW w:w="1985" w:type="dxa"/>
            <w:tcBorders>
              <w:top w:val="nil"/>
              <w:left w:val="nil"/>
              <w:bottom w:val="nil"/>
              <w:right w:val="nil"/>
            </w:tcBorders>
            <w:vAlign w:val="center"/>
          </w:tcPr>
          <w:p w14:paraId="7F1B5642" w14:textId="78FBA329"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16.10</w:t>
            </w:r>
          </w:p>
        </w:tc>
        <w:tc>
          <w:tcPr>
            <w:tcW w:w="1843" w:type="dxa"/>
            <w:tcBorders>
              <w:top w:val="nil"/>
              <w:left w:val="nil"/>
              <w:bottom w:val="nil"/>
              <w:right w:val="nil"/>
            </w:tcBorders>
            <w:vAlign w:val="center"/>
          </w:tcPr>
          <w:p w14:paraId="06CE614A" w14:textId="232C2F9A"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154 (5)</w:t>
            </w:r>
          </w:p>
        </w:tc>
      </w:tr>
      <w:tr w:rsidR="007A06C1" w:rsidRPr="0088142B" w14:paraId="1B80721E" w14:textId="36771658"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46A6CADD" w14:textId="77777777"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p>
        </w:tc>
        <w:tc>
          <w:tcPr>
            <w:tcW w:w="1167" w:type="dxa"/>
            <w:tcBorders>
              <w:top w:val="nil"/>
              <w:left w:val="nil"/>
              <w:bottom w:val="nil"/>
              <w:right w:val="nil"/>
            </w:tcBorders>
            <w:tcMar>
              <w:top w:w="72" w:type="dxa"/>
              <w:left w:w="144" w:type="dxa"/>
              <w:bottom w:w="72" w:type="dxa"/>
              <w:right w:w="144" w:type="dxa"/>
            </w:tcMar>
            <w:vAlign w:val="center"/>
          </w:tcPr>
          <w:p w14:paraId="07C16764" w14:textId="597873F0"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themeColor="text1"/>
                <w:kern w:val="24"/>
                <w:sz w:val="24"/>
                <w:szCs w:val="24"/>
                <w:lang w:val="fr-CH"/>
              </w:rPr>
              <w:t>24</w:t>
            </w:r>
          </w:p>
        </w:tc>
        <w:tc>
          <w:tcPr>
            <w:tcW w:w="2167" w:type="dxa"/>
            <w:gridSpan w:val="2"/>
            <w:tcBorders>
              <w:top w:val="nil"/>
              <w:left w:val="nil"/>
              <w:bottom w:val="nil"/>
              <w:right w:val="nil"/>
            </w:tcBorders>
            <w:tcMar>
              <w:top w:w="72" w:type="dxa"/>
              <w:left w:w="144" w:type="dxa"/>
              <w:bottom w:w="72" w:type="dxa"/>
              <w:right w:w="144" w:type="dxa"/>
            </w:tcMar>
            <w:vAlign w:val="center"/>
          </w:tcPr>
          <w:p w14:paraId="21A81869" w14:textId="5538BDA7"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0.21 ± 0.08</w:t>
            </w:r>
          </w:p>
        </w:tc>
        <w:tc>
          <w:tcPr>
            <w:tcW w:w="1985" w:type="dxa"/>
            <w:tcBorders>
              <w:top w:val="nil"/>
              <w:left w:val="nil"/>
              <w:bottom w:val="nil"/>
              <w:right w:val="nil"/>
            </w:tcBorders>
            <w:vAlign w:val="center"/>
          </w:tcPr>
          <w:p w14:paraId="48BD26A5" w14:textId="207E91AC"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36.53</w:t>
            </w:r>
          </w:p>
        </w:tc>
        <w:tc>
          <w:tcPr>
            <w:tcW w:w="1843" w:type="dxa"/>
            <w:tcBorders>
              <w:top w:val="nil"/>
              <w:left w:val="nil"/>
              <w:bottom w:val="nil"/>
              <w:right w:val="nil"/>
            </w:tcBorders>
            <w:vAlign w:val="center"/>
          </w:tcPr>
          <w:p w14:paraId="11A10C3B" w14:textId="4485804B"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134 (5)</w:t>
            </w:r>
          </w:p>
        </w:tc>
      </w:tr>
      <w:tr w:rsidR="007A06C1" w:rsidRPr="0088142B" w14:paraId="0A1A3096" w14:textId="6A5EFA3D"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00101496" w14:textId="070DB1DD"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r w:rsidRPr="0088142B">
              <w:rPr>
                <w:rFonts w:ascii="Calibri" w:eastAsia="Times New Roman" w:hAnsi="Calibri" w:cs="Calibri"/>
                <w:color w:val="000000" w:themeColor="text1"/>
                <w:kern w:val="24"/>
                <w:sz w:val="24"/>
                <w:szCs w:val="24"/>
              </w:rPr>
              <w:t>Solid-phase calcination</w:t>
            </w:r>
          </w:p>
        </w:tc>
        <w:tc>
          <w:tcPr>
            <w:tcW w:w="1167" w:type="dxa"/>
            <w:tcBorders>
              <w:top w:val="nil"/>
              <w:left w:val="nil"/>
              <w:bottom w:val="nil"/>
              <w:right w:val="nil"/>
            </w:tcBorders>
            <w:tcMar>
              <w:top w:w="72" w:type="dxa"/>
              <w:left w:w="144" w:type="dxa"/>
              <w:bottom w:w="72" w:type="dxa"/>
              <w:right w:w="144" w:type="dxa"/>
            </w:tcMar>
            <w:vAlign w:val="center"/>
          </w:tcPr>
          <w:p w14:paraId="03F26A1B" w14:textId="0C300F9C"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kern w:val="24"/>
                <w:sz w:val="24"/>
                <w:szCs w:val="24"/>
                <w:lang w:val="fr-CH"/>
              </w:rPr>
              <w:t>0</w:t>
            </w:r>
          </w:p>
        </w:tc>
        <w:tc>
          <w:tcPr>
            <w:tcW w:w="2167" w:type="dxa"/>
            <w:gridSpan w:val="2"/>
            <w:tcBorders>
              <w:top w:val="nil"/>
              <w:left w:val="nil"/>
              <w:bottom w:val="nil"/>
              <w:right w:val="nil"/>
            </w:tcBorders>
            <w:tcMar>
              <w:top w:w="72" w:type="dxa"/>
              <w:left w:w="144" w:type="dxa"/>
              <w:bottom w:w="72" w:type="dxa"/>
              <w:right w:w="144" w:type="dxa"/>
            </w:tcMar>
            <w:vAlign w:val="center"/>
          </w:tcPr>
          <w:p w14:paraId="05DD365A" w14:textId="419C269B"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6.37 ± 0.86</w:t>
            </w:r>
          </w:p>
        </w:tc>
        <w:tc>
          <w:tcPr>
            <w:tcW w:w="1985" w:type="dxa"/>
            <w:tcBorders>
              <w:top w:val="nil"/>
              <w:left w:val="nil"/>
              <w:bottom w:val="nil"/>
              <w:right w:val="nil"/>
            </w:tcBorders>
            <w:vAlign w:val="center"/>
          </w:tcPr>
          <w:p w14:paraId="127ABFBB" w14:textId="263DA36F"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13.52</w:t>
            </w:r>
          </w:p>
        </w:tc>
        <w:tc>
          <w:tcPr>
            <w:tcW w:w="1843" w:type="dxa"/>
            <w:tcBorders>
              <w:top w:val="nil"/>
              <w:left w:val="nil"/>
              <w:bottom w:val="nil"/>
              <w:right w:val="nil"/>
            </w:tcBorders>
            <w:vAlign w:val="center"/>
          </w:tcPr>
          <w:p w14:paraId="58B2E8F3" w14:textId="458C6D8C"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108 (6)</w:t>
            </w:r>
          </w:p>
        </w:tc>
      </w:tr>
      <w:tr w:rsidR="007A06C1" w:rsidRPr="0088142B" w14:paraId="7E272AE8" w14:textId="629F969B"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26BFA24D" w14:textId="77777777"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p>
        </w:tc>
        <w:tc>
          <w:tcPr>
            <w:tcW w:w="1167" w:type="dxa"/>
            <w:tcBorders>
              <w:top w:val="nil"/>
              <w:left w:val="nil"/>
              <w:bottom w:val="nil"/>
              <w:right w:val="nil"/>
            </w:tcBorders>
            <w:tcMar>
              <w:top w:w="72" w:type="dxa"/>
              <w:left w:w="144" w:type="dxa"/>
              <w:bottom w:w="72" w:type="dxa"/>
              <w:right w:w="144" w:type="dxa"/>
            </w:tcMar>
            <w:vAlign w:val="center"/>
          </w:tcPr>
          <w:p w14:paraId="20C2240A" w14:textId="2AD382BA"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kern w:val="24"/>
                <w:sz w:val="24"/>
                <w:szCs w:val="24"/>
                <w:lang w:val="fr-CH"/>
              </w:rPr>
              <w:t>6</w:t>
            </w:r>
          </w:p>
        </w:tc>
        <w:tc>
          <w:tcPr>
            <w:tcW w:w="2167" w:type="dxa"/>
            <w:gridSpan w:val="2"/>
            <w:tcBorders>
              <w:top w:val="nil"/>
              <w:left w:val="nil"/>
              <w:bottom w:val="nil"/>
              <w:right w:val="nil"/>
            </w:tcBorders>
            <w:tcMar>
              <w:top w:w="72" w:type="dxa"/>
              <w:left w:w="144" w:type="dxa"/>
              <w:bottom w:w="72" w:type="dxa"/>
              <w:right w:w="144" w:type="dxa"/>
            </w:tcMar>
            <w:vAlign w:val="center"/>
          </w:tcPr>
          <w:p w14:paraId="52ED52B9" w14:textId="38309DDC"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6.15 ± 0.45</w:t>
            </w:r>
          </w:p>
        </w:tc>
        <w:tc>
          <w:tcPr>
            <w:tcW w:w="1985" w:type="dxa"/>
            <w:tcBorders>
              <w:top w:val="nil"/>
              <w:left w:val="nil"/>
              <w:bottom w:val="nil"/>
              <w:right w:val="nil"/>
            </w:tcBorders>
            <w:vAlign w:val="center"/>
          </w:tcPr>
          <w:p w14:paraId="758B5ACC" w14:textId="206A2CBC"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7.26</w:t>
            </w:r>
          </w:p>
        </w:tc>
        <w:tc>
          <w:tcPr>
            <w:tcW w:w="1843" w:type="dxa"/>
            <w:tcBorders>
              <w:top w:val="nil"/>
              <w:left w:val="nil"/>
              <w:bottom w:val="nil"/>
              <w:right w:val="nil"/>
            </w:tcBorders>
            <w:vAlign w:val="center"/>
          </w:tcPr>
          <w:p w14:paraId="1F619A78" w14:textId="545585FE"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103 (6)</w:t>
            </w:r>
          </w:p>
        </w:tc>
      </w:tr>
      <w:tr w:rsidR="007A06C1" w:rsidRPr="0088142B" w14:paraId="624A177F" w14:textId="7E6F9F1E" w:rsidTr="00F77FEE">
        <w:trPr>
          <w:trHeight w:val="87"/>
        </w:trPr>
        <w:tc>
          <w:tcPr>
            <w:tcW w:w="1769" w:type="dxa"/>
            <w:tcBorders>
              <w:top w:val="nil"/>
              <w:left w:val="nil"/>
              <w:bottom w:val="nil"/>
              <w:right w:val="nil"/>
            </w:tcBorders>
            <w:tcMar>
              <w:top w:w="72" w:type="dxa"/>
              <w:left w:w="144" w:type="dxa"/>
              <w:bottom w:w="72" w:type="dxa"/>
              <w:right w:w="144" w:type="dxa"/>
            </w:tcMar>
            <w:vAlign w:val="center"/>
          </w:tcPr>
          <w:p w14:paraId="6022A9FC" w14:textId="77777777"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p>
        </w:tc>
        <w:tc>
          <w:tcPr>
            <w:tcW w:w="1167" w:type="dxa"/>
            <w:tcBorders>
              <w:top w:val="nil"/>
              <w:left w:val="nil"/>
              <w:bottom w:val="nil"/>
              <w:right w:val="nil"/>
            </w:tcBorders>
            <w:tcMar>
              <w:top w:w="72" w:type="dxa"/>
              <w:left w:w="144" w:type="dxa"/>
              <w:bottom w:w="72" w:type="dxa"/>
              <w:right w:w="144" w:type="dxa"/>
            </w:tcMar>
            <w:vAlign w:val="center"/>
          </w:tcPr>
          <w:p w14:paraId="2CE01711" w14:textId="0F4AF61C"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themeColor="text1"/>
                <w:kern w:val="24"/>
                <w:sz w:val="24"/>
                <w:szCs w:val="24"/>
                <w:lang w:val="fr-CH"/>
              </w:rPr>
              <w:t>16</w:t>
            </w:r>
          </w:p>
        </w:tc>
        <w:tc>
          <w:tcPr>
            <w:tcW w:w="2167" w:type="dxa"/>
            <w:gridSpan w:val="2"/>
            <w:tcBorders>
              <w:top w:val="nil"/>
              <w:left w:val="nil"/>
              <w:bottom w:val="nil"/>
              <w:right w:val="nil"/>
            </w:tcBorders>
            <w:tcMar>
              <w:top w:w="72" w:type="dxa"/>
              <w:left w:w="144" w:type="dxa"/>
              <w:bottom w:w="72" w:type="dxa"/>
              <w:right w:w="144" w:type="dxa"/>
            </w:tcMar>
            <w:vAlign w:val="center"/>
          </w:tcPr>
          <w:p w14:paraId="2BE1BDF2" w14:textId="5F5B8AE2"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6.36 ± 0.45</w:t>
            </w:r>
          </w:p>
        </w:tc>
        <w:tc>
          <w:tcPr>
            <w:tcW w:w="1985" w:type="dxa"/>
            <w:tcBorders>
              <w:top w:val="nil"/>
              <w:left w:val="nil"/>
              <w:bottom w:val="nil"/>
              <w:right w:val="nil"/>
            </w:tcBorders>
            <w:vAlign w:val="center"/>
          </w:tcPr>
          <w:p w14:paraId="0E40AD6E" w14:textId="07147B5B"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7.04</w:t>
            </w:r>
          </w:p>
        </w:tc>
        <w:tc>
          <w:tcPr>
            <w:tcW w:w="1843" w:type="dxa"/>
            <w:tcBorders>
              <w:top w:val="nil"/>
              <w:left w:val="nil"/>
              <w:bottom w:val="nil"/>
              <w:right w:val="nil"/>
            </w:tcBorders>
            <w:vAlign w:val="center"/>
          </w:tcPr>
          <w:p w14:paraId="1B384493" w14:textId="385BD92E"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159 (5)</w:t>
            </w:r>
          </w:p>
        </w:tc>
      </w:tr>
      <w:tr w:rsidR="007A06C1" w:rsidRPr="0088142B" w14:paraId="69AA7EEB" w14:textId="58AB8CD9" w:rsidTr="00F77FEE">
        <w:trPr>
          <w:trHeight w:val="87"/>
        </w:trPr>
        <w:tc>
          <w:tcPr>
            <w:tcW w:w="1769" w:type="dxa"/>
            <w:tcBorders>
              <w:top w:val="nil"/>
              <w:left w:val="nil"/>
              <w:bottom w:val="single" w:sz="8" w:space="0" w:color="000000"/>
              <w:right w:val="nil"/>
            </w:tcBorders>
            <w:tcMar>
              <w:top w:w="72" w:type="dxa"/>
              <w:left w:w="144" w:type="dxa"/>
              <w:bottom w:w="72" w:type="dxa"/>
              <w:right w:w="144" w:type="dxa"/>
            </w:tcMar>
            <w:vAlign w:val="center"/>
          </w:tcPr>
          <w:p w14:paraId="3E828CE3" w14:textId="77777777"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rPr>
            </w:pPr>
          </w:p>
        </w:tc>
        <w:tc>
          <w:tcPr>
            <w:tcW w:w="1167" w:type="dxa"/>
            <w:tcBorders>
              <w:top w:val="nil"/>
              <w:left w:val="nil"/>
              <w:bottom w:val="single" w:sz="8" w:space="0" w:color="000000"/>
              <w:right w:val="nil"/>
            </w:tcBorders>
            <w:tcMar>
              <w:top w:w="72" w:type="dxa"/>
              <w:left w:w="144" w:type="dxa"/>
              <w:bottom w:w="72" w:type="dxa"/>
              <w:right w:w="144" w:type="dxa"/>
            </w:tcMar>
            <w:vAlign w:val="center"/>
          </w:tcPr>
          <w:p w14:paraId="3163BA3B" w14:textId="49D05029" w:rsidR="007A06C1" w:rsidRPr="0088142B" w:rsidRDefault="007A06C1" w:rsidP="00F77FEE">
            <w:pPr>
              <w:widowControl/>
              <w:wordWrap/>
              <w:autoSpaceDE/>
              <w:autoSpaceDN/>
              <w:spacing w:after="0" w:line="240" w:lineRule="auto"/>
              <w:jc w:val="center"/>
              <w:rPr>
                <w:rFonts w:ascii="Calibri" w:hAnsi="Calibri" w:cs="Calibri"/>
                <w:color w:val="000000" w:themeColor="text1"/>
                <w:kern w:val="24"/>
                <w:sz w:val="24"/>
                <w:szCs w:val="24"/>
                <w:lang w:val="fr-CH"/>
              </w:rPr>
            </w:pPr>
            <w:r w:rsidRPr="0088142B">
              <w:rPr>
                <w:rFonts w:ascii="Calibri" w:hAnsi="Calibri" w:cs="Calibri"/>
                <w:color w:val="000000" w:themeColor="text1"/>
                <w:kern w:val="24"/>
                <w:sz w:val="24"/>
                <w:szCs w:val="24"/>
                <w:lang w:val="fr-CH"/>
              </w:rPr>
              <w:t>24</w:t>
            </w:r>
          </w:p>
        </w:tc>
        <w:tc>
          <w:tcPr>
            <w:tcW w:w="2167" w:type="dxa"/>
            <w:gridSpan w:val="2"/>
            <w:tcBorders>
              <w:top w:val="nil"/>
              <w:left w:val="nil"/>
              <w:bottom w:val="single" w:sz="8" w:space="0" w:color="000000"/>
              <w:right w:val="nil"/>
            </w:tcBorders>
            <w:tcMar>
              <w:top w:w="72" w:type="dxa"/>
              <w:left w:w="144" w:type="dxa"/>
              <w:bottom w:w="72" w:type="dxa"/>
              <w:right w:w="144" w:type="dxa"/>
            </w:tcMar>
            <w:vAlign w:val="center"/>
          </w:tcPr>
          <w:p w14:paraId="59EC3423" w14:textId="6C6FF4E0"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6.40 ± 0.83</w:t>
            </w:r>
          </w:p>
        </w:tc>
        <w:tc>
          <w:tcPr>
            <w:tcW w:w="1985" w:type="dxa"/>
            <w:tcBorders>
              <w:top w:val="nil"/>
              <w:left w:val="nil"/>
              <w:bottom w:val="single" w:sz="8" w:space="0" w:color="000000"/>
              <w:right w:val="nil"/>
            </w:tcBorders>
            <w:vAlign w:val="center"/>
          </w:tcPr>
          <w:p w14:paraId="55990039" w14:textId="54BC8120"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12.98</w:t>
            </w:r>
          </w:p>
        </w:tc>
        <w:tc>
          <w:tcPr>
            <w:tcW w:w="1843" w:type="dxa"/>
            <w:tcBorders>
              <w:top w:val="nil"/>
              <w:left w:val="nil"/>
              <w:bottom w:val="single" w:sz="8" w:space="0" w:color="000000"/>
              <w:right w:val="nil"/>
            </w:tcBorders>
            <w:vAlign w:val="center"/>
          </w:tcPr>
          <w:p w14:paraId="48474BAE" w14:textId="76E1495D" w:rsidR="007A06C1" w:rsidRPr="0088142B" w:rsidRDefault="007A06C1" w:rsidP="00F77FEE">
            <w:pPr>
              <w:widowControl/>
              <w:wordWrap/>
              <w:autoSpaceDE/>
              <w:autoSpaceDN/>
              <w:spacing w:after="0" w:line="240" w:lineRule="auto"/>
              <w:jc w:val="center"/>
              <w:rPr>
                <w:rFonts w:ascii="Calibri" w:eastAsia="Times New Roman" w:hAnsi="Calibri" w:cs="Calibri"/>
                <w:color w:val="000000" w:themeColor="text1"/>
                <w:kern w:val="24"/>
                <w:sz w:val="24"/>
                <w:szCs w:val="24"/>
                <w:lang w:val="fr-CH"/>
              </w:rPr>
            </w:pPr>
            <w:r w:rsidRPr="0088142B">
              <w:rPr>
                <w:rFonts w:ascii="Calibri" w:eastAsia="Times New Roman" w:hAnsi="Calibri" w:cs="Calibri"/>
                <w:color w:val="000000" w:themeColor="text1"/>
                <w:kern w:val="24"/>
                <w:sz w:val="24"/>
                <w:szCs w:val="24"/>
                <w:lang w:val="fr-CH"/>
              </w:rPr>
              <w:t>88 (5)</w:t>
            </w:r>
          </w:p>
        </w:tc>
      </w:tr>
    </w:tbl>
    <w:p w14:paraId="6520D4D0" w14:textId="26A909F0" w:rsidR="00067D64" w:rsidRPr="0088142B" w:rsidRDefault="00D5003B">
      <w:pPr>
        <w:widowControl/>
        <w:wordWrap/>
        <w:autoSpaceDE/>
        <w:autoSpaceDN/>
        <w:rPr>
          <w:rFonts w:ascii="Calibri" w:hAnsi="Calibri" w:cs="Calibri"/>
          <w:szCs w:val="20"/>
        </w:rPr>
      </w:pPr>
      <w:r w:rsidRPr="0088142B">
        <w:rPr>
          <w:rFonts w:ascii="Calibri" w:hAnsi="Calibri" w:cs="Calibri"/>
          <w:szCs w:val="20"/>
        </w:rPr>
        <w:t>Data presentation: Core-shell ratio values present the mean ± standard deviation. Sample size indicates the total number of analyzed Au@SiO</w:t>
      </w:r>
      <w:r w:rsidRPr="0088142B">
        <w:rPr>
          <w:rFonts w:ascii="Calibri" w:hAnsi="Calibri" w:cs="Calibri"/>
          <w:szCs w:val="20"/>
          <w:vertAlign w:val="subscript"/>
        </w:rPr>
        <w:t>2</w:t>
      </w:r>
      <w:r w:rsidRPr="0088142B">
        <w:rPr>
          <w:rFonts w:ascii="Calibri" w:hAnsi="Calibri" w:cs="Calibri"/>
          <w:szCs w:val="20"/>
        </w:rPr>
        <w:t xml:space="preserve"> NPs (number of TEM images). CV presents the coefficient of variation.  </w:t>
      </w:r>
    </w:p>
    <w:p w14:paraId="3DEF0205" w14:textId="77777777" w:rsidR="00067D64" w:rsidRPr="0088142B" w:rsidRDefault="00067D64">
      <w:pPr>
        <w:widowControl/>
        <w:wordWrap/>
        <w:autoSpaceDE/>
        <w:autoSpaceDN/>
        <w:rPr>
          <w:rFonts w:ascii="Calibri" w:hAnsi="Calibri" w:cs="Calibri"/>
          <w:szCs w:val="20"/>
        </w:rPr>
      </w:pPr>
      <w:r w:rsidRPr="0088142B">
        <w:rPr>
          <w:rFonts w:ascii="Calibri" w:hAnsi="Calibri" w:cs="Calibri"/>
          <w:szCs w:val="20"/>
        </w:rPr>
        <w:br w:type="page"/>
      </w:r>
    </w:p>
    <w:p w14:paraId="152D5EBF" w14:textId="4C64DEA0" w:rsidR="00067D64" w:rsidRPr="0088142B" w:rsidRDefault="006A5BEC" w:rsidP="00067D64">
      <w:pPr>
        <w:widowControl/>
        <w:wordWrap/>
        <w:autoSpaceDE/>
        <w:autoSpaceDN/>
        <w:rPr>
          <w:rFonts w:ascii="Calibri" w:hAnsi="Calibri" w:cs="Calibri"/>
        </w:rPr>
      </w:pPr>
      <w:r w:rsidRPr="0088142B">
        <w:rPr>
          <w:noProof/>
        </w:rPr>
        <w:lastRenderedPageBreak/>
        <w:drawing>
          <wp:inline distT="0" distB="0" distL="0" distR="0" wp14:anchorId="54BD7910" wp14:editId="3D8CC8B9">
            <wp:extent cx="5731510" cy="2767345"/>
            <wp:effectExtent l="0" t="0" r="0" b="1270"/>
            <wp:docPr id="794256754" name="Picture 2" descr="A close up of a microsc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256754" name="Picture 2" descr="A close up of a microscope&#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2767345"/>
                    </a:xfrm>
                    <a:prstGeom prst="rect">
                      <a:avLst/>
                    </a:prstGeom>
                    <a:noFill/>
                  </pic:spPr>
                </pic:pic>
              </a:graphicData>
            </a:graphic>
          </wp:inline>
        </w:drawing>
      </w:r>
    </w:p>
    <w:p w14:paraId="08989291" w14:textId="5FCAFA96" w:rsidR="00E27530" w:rsidRPr="0088142B" w:rsidRDefault="00067D64" w:rsidP="00067D64">
      <w:pPr>
        <w:pStyle w:val="Caption"/>
        <w:rPr>
          <w:rFonts w:ascii="Calibri" w:hAnsi="Calibri" w:cs="Calibri"/>
          <w:i w:val="0"/>
          <w:iCs w:val="0"/>
          <w:color w:val="auto"/>
          <w:sz w:val="20"/>
          <w:szCs w:val="20"/>
        </w:rPr>
      </w:pPr>
      <w:r w:rsidRPr="0088142B">
        <w:rPr>
          <w:rFonts w:ascii="Calibri" w:hAnsi="Calibri" w:cs="Calibri"/>
          <w:b/>
          <w:bCs/>
          <w:i w:val="0"/>
          <w:iCs w:val="0"/>
          <w:color w:val="auto"/>
          <w:sz w:val="20"/>
          <w:szCs w:val="20"/>
        </w:rPr>
        <w:t>Figure S</w:t>
      </w:r>
      <w:r w:rsidR="00652FEC" w:rsidRPr="0088142B">
        <w:rPr>
          <w:rFonts w:ascii="Calibri" w:hAnsi="Calibri" w:cs="Calibri"/>
          <w:b/>
          <w:bCs/>
          <w:i w:val="0"/>
          <w:iCs w:val="0"/>
          <w:color w:val="auto"/>
          <w:sz w:val="20"/>
          <w:szCs w:val="20"/>
        </w:rPr>
        <w:t>1</w:t>
      </w:r>
      <w:r w:rsidR="00EF4C5C" w:rsidRPr="0088142B">
        <w:rPr>
          <w:rFonts w:ascii="Calibri" w:hAnsi="Calibri" w:cs="Calibri"/>
          <w:b/>
          <w:bCs/>
          <w:i w:val="0"/>
          <w:iCs w:val="0"/>
          <w:color w:val="auto"/>
          <w:sz w:val="20"/>
          <w:szCs w:val="20"/>
        </w:rPr>
        <w:t>1</w:t>
      </w:r>
      <w:r w:rsidRPr="0088142B">
        <w:rPr>
          <w:rFonts w:ascii="Calibri" w:hAnsi="Calibri" w:cs="Calibri"/>
          <w:i w:val="0"/>
          <w:iCs w:val="0"/>
          <w:color w:val="auto"/>
          <w:sz w:val="20"/>
          <w:szCs w:val="20"/>
        </w:rPr>
        <w:t xml:space="preserve">. </w:t>
      </w:r>
      <w:r w:rsidR="00EF0023" w:rsidRPr="0088142B">
        <w:rPr>
          <w:rFonts w:ascii="Calibri" w:hAnsi="Calibri" w:cs="Calibri"/>
          <w:i w:val="0"/>
          <w:iCs w:val="0"/>
          <w:color w:val="auto"/>
          <w:sz w:val="20"/>
          <w:szCs w:val="20"/>
        </w:rPr>
        <w:t>Progressive photobleaching of Cy5 fluorescence during sequential z-stack acquisition. Confocal LSM images of the same optical plane in human monocyte-derived macrophages (MDMs) acquired before (left) and after (right) completing the full z-stack acquisition. Fluorescence from S-Au@SiO</w:t>
      </w:r>
      <w:r w:rsidR="00EF0023" w:rsidRPr="0088142B">
        <w:rPr>
          <w:rFonts w:ascii="Calibri" w:hAnsi="Calibri" w:cs="Calibri"/>
          <w:i w:val="0"/>
          <w:iCs w:val="0"/>
          <w:color w:val="auto"/>
          <w:sz w:val="20"/>
          <w:szCs w:val="20"/>
          <w:vertAlign w:val="subscript"/>
        </w:rPr>
        <w:t>2</w:t>
      </w:r>
      <w:r w:rsidR="00EF0023" w:rsidRPr="0088142B">
        <w:rPr>
          <w:rFonts w:ascii="Calibri" w:hAnsi="Calibri" w:cs="Calibri"/>
          <w:i w:val="0"/>
          <w:iCs w:val="0"/>
          <w:color w:val="auto"/>
          <w:sz w:val="20"/>
          <w:szCs w:val="20"/>
        </w:rPr>
        <w:t xml:space="preserve">-Cy5 NPs (yellow dots) shows marked intensity decrease or complete signal loss after cumulative photon exposure during sequential imaging. This progressive depletion of fluorescence in later z-planes necessitates the use of permanent structural markers (electron-dense Au cores) for reliable quantitative tracking throughout 3D volumes, as demonstrated in Figure 6. Scale bars: 20 </w:t>
      </w:r>
      <w:r w:rsidR="00032E85" w:rsidRPr="0088142B">
        <w:rPr>
          <w:rFonts w:ascii="Calibri" w:hAnsi="Calibri" w:cs="Calibri"/>
          <w:i w:val="0"/>
          <w:iCs w:val="0"/>
          <w:color w:val="auto"/>
          <w:sz w:val="20"/>
          <w:szCs w:val="20"/>
        </w:rPr>
        <w:t>µ</w:t>
      </w:r>
      <w:r w:rsidR="00EF0023" w:rsidRPr="0088142B">
        <w:rPr>
          <w:rFonts w:ascii="Calibri" w:hAnsi="Calibri" w:cs="Calibri"/>
          <w:i w:val="0"/>
          <w:iCs w:val="0"/>
          <w:color w:val="auto"/>
          <w:sz w:val="20"/>
          <w:szCs w:val="20"/>
        </w:rPr>
        <w:t>m</w:t>
      </w:r>
      <w:r w:rsidRPr="0088142B">
        <w:rPr>
          <w:rFonts w:ascii="Calibri" w:hAnsi="Calibri" w:cs="Calibri"/>
          <w:i w:val="0"/>
          <w:iCs w:val="0"/>
          <w:color w:val="auto"/>
          <w:sz w:val="20"/>
          <w:szCs w:val="20"/>
        </w:rPr>
        <w:t>.</w:t>
      </w:r>
      <w:r w:rsidR="00032E85" w:rsidRPr="0088142B">
        <w:rPr>
          <w:rFonts w:ascii="Calibri" w:hAnsi="Calibri" w:cs="Calibri"/>
          <w:i w:val="0"/>
          <w:iCs w:val="0"/>
          <w:color w:val="auto"/>
          <w:sz w:val="20"/>
          <w:szCs w:val="20"/>
        </w:rPr>
        <w:t xml:space="preserve"> </w:t>
      </w:r>
      <w:r w:rsidR="00E27530" w:rsidRPr="0088142B">
        <w:rPr>
          <w:rFonts w:ascii="Calibri" w:hAnsi="Calibri" w:cs="Calibri"/>
          <w:i w:val="0"/>
          <w:iCs w:val="0"/>
          <w:color w:val="auto"/>
          <w:sz w:val="20"/>
          <w:szCs w:val="20"/>
        </w:rPr>
        <w:br/>
      </w:r>
    </w:p>
    <w:p w14:paraId="3320037D" w14:textId="77777777" w:rsidR="00E27530" w:rsidRPr="0088142B" w:rsidRDefault="00E27530">
      <w:pPr>
        <w:widowControl/>
        <w:wordWrap/>
        <w:autoSpaceDE/>
        <w:autoSpaceDN/>
        <w:rPr>
          <w:rFonts w:ascii="Calibri" w:hAnsi="Calibri" w:cs="Calibri"/>
          <w:szCs w:val="20"/>
        </w:rPr>
      </w:pPr>
      <w:r w:rsidRPr="0088142B">
        <w:rPr>
          <w:rFonts w:ascii="Calibri" w:hAnsi="Calibri" w:cs="Calibri"/>
          <w:i/>
          <w:iCs/>
          <w:szCs w:val="20"/>
        </w:rPr>
        <w:br w:type="page"/>
      </w:r>
    </w:p>
    <w:p w14:paraId="6E58A6F5" w14:textId="77777777" w:rsidR="00E27530" w:rsidRPr="0088142B" w:rsidRDefault="00E27530" w:rsidP="00E27530">
      <w:pPr>
        <w:spacing w:line="360" w:lineRule="auto"/>
        <w:rPr>
          <w:rFonts w:ascii="Calibri" w:hAnsi="Calibri" w:cs="Calibri"/>
          <w:b/>
          <w:bCs/>
          <w:sz w:val="22"/>
          <w:lang w:val="de-CH"/>
        </w:rPr>
      </w:pPr>
      <w:r w:rsidRPr="0088142B">
        <w:rPr>
          <w:rFonts w:ascii="Calibri" w:hAnsi="Calibri" w:cs="Calibri"/>
          <w:b/>
          <w:bCs/>
          <w:sz w:val="22"/>
          <w:lang w:val="de-CH"/>
        </w:rPr>
        <w:lastRenderedPageBreak/>
        <w:t>Reference</w:t>
      </w:r>
    </w:p>
    <w:p w14:paraId="4A03B350" w14:textId="3D7A050A" w:rsidR="00E27530" w:rsidRPr="0088142B" w:rsidRDefault="00E27530" w:rsidP="00E27530">
      <w:pPr>
        <w:adjustRightInd w:val="0"/>
        <w:spacing w:line="360" w:lineRule="auto"/>
        <w:ind w:left="640" w:hanging="640"/>
        <w:rPr>
          <w:rFonts w:ascii="Calibri" w:hAnsi="Calibri" w:cs="Calibri"/>
          <w:noProof/>
          <w:sz w:val="22"/>
        </w:rPr>
      </w:pPr>
      <w:r w:rsidRPr="0088142B">
        <w:rPr>
          <w:rFonts w:ascii="Calibri" w:hAnsi="Calibri" w:cs="Calibri"/>
          <w:b/>
          <w:bCs/>
          <w:sz w:val="22"/>
          <w:lang w:val="de-CH"/>
        </w:rPr>
        <w:fldChar w:fldCharType="begin" w:fldLock="1"/>
      </w:r>
      <w:r w:rsidRPr="0088142B">
        <w:rPr>
          <w:rFonts w:ascii="Calibri" w:hAnsi="Calibri" w:cs="Calibri"/>
          <w:b/>
          <w:bCs/>
          <w:sz w:val="22"/>
          <w:lang w:val="de-CH"/>
        </w:rPr>
        <w:instrText xml:space="preserve">ADDIN Mendeley Bibliography CSL_BIBLIOGRAPHY </w:instrText>
      </w:r>
      <w:r w:rsidRPr="0088142B">
        <w:rPr>
          <w:rFonts w:ascii="Calibri" w:hAnsi="Calibri" w:cs="Calibri"/>
          <w:b/>
          <w:bCs/>
          <w:sz w:val="22"/>
          <w:lang w:val="de-CH"/>
        </w:rPr>
        <w:fldChar w:fldCharType="separate"/>
      </w:r>
      <w:r w:rsidRPr="0088142B">
        <w:rPr>
          <w:rFonts w:ascii="Calibri" w:hAnsi="Calibri" w:cs="Calibri"/>
          <w:noProof/>
          <w:kern w:val="0"/>
          <w:sz w:val="22"/>
        </w:rPr>
        <w:t xml:space="preserve">[1] </w:t>
      </w:r>
      <w:r w:rsidRPr="0088142B">
        <w:rPr>
          <w:rFonts w:ascii="Calibri" w:hAnsi="Calibri" w:cs="Calibri"/>
          <w:noProof/>
          <w:kern w:val="0"/>
          <w:sz w:val="22"/>
        </w:rPr>
        <w:tab/>
        <w:t xml:space="preserve">S. Bhattacharjee, </w:t>
      </w:r>
      <w:r w:rsidRPr="0088142B">
        <w:rPr>
          <w:rFonts w:ascii="Calibri" w:hAnsi="Calibri" w:cs="Calibri"/>
          <w:i/>
          <w:iCs/>
          <w:noProof/>
          <w:kern w:val="0"/>
          <w:sz w:val="22"/>
        </w:rPr>
        <w:t>J. Control. Release</w:t>
      </w:r>
      <w:r w:rsidRPr="0088142B">
        <w:rPr>
          <w:rFonts w:ascii="Calibri" w:hAnsi="Calibri" w:cs="Calibri"/>
          <w:noProof/>
          <w:kern w:val="0"/>
          <w:sz w:val="22"/>
        </w:rPr>
        <w:t xml:space="preserve"> </w:t>
      </w:r>
      <w:r w:rsidRPr="0088142B">
        <w:rPr>
          <w:rFonts w:ascii="Calibri" w:hAnsi="Calibri" w:cs="Calibri"/>
          <w:b/>
          <w:bCs/>
          <w:noProof/>
          <w:kern w:val="0"/>
          <w:sz w:val="22"/>
        </w:rPr>
        <w:t>2016</w:t>
      </w:r>
      <w:r w:rsidRPr="0088142B">
        <w:rPr>
          <w:rFonts w:ascii="Calibri" w:hAnsi="Calibri" w:cs="Calibri"/>
          <w:noProof/>
          <w:kern w:val="0"/>
          <w:sz w:val="22"/>
        </w:rPr>
        <w:t xml:space="preserve">, </w:t>
      </w:r>
      <w:r w:rsidRPr="0088142B">
        <w:rPr>
          <w:rFonts w:ascii="Calibri" w:hAnsi="Calibri" w:cs="Calibri"/>
          <w:i/>
          <w:iCs/>
          <w:noProof/>
          <w:kern w:val="0"/>
          <w:sz w:val="22"/>
        </w:rPr>
        <w:t>235</w:t>
      </w:r>
      <w:r w:rsidRPr="0088142B">
        <w:rPr>
          <w:rFonts w:ascii="Calibri" w:hAnsi="Calibri" w:cs="Calibri"/>
          <w:noProof/>
          <w:kern w:val="0"/>
          <w:sz w:val="22"/>
        </w:rPr>
        <w:t>, 337.</w:t>
      </w:r>
    </w:p>
    <w:p w14:paraId="2E3AE246" w14:textId="06065F13" w:rsidR="00E27530" w:rsidRPr="00AA7E56" w:rsidRDefault="00E27530" w:rsidP="00E27530">
      <w:pPr>
        <w:spacing w:line="360" w:lineRule="auto"/>
        <w:rPr>
          <w:rFonts w:ascii="Calibri" w:hAnsi="Calibri" w:cs="Calibri"/>
          <w:b/>
          <w:bCs/>
          <w:sz w:val="22"/>
          <w:lang w:val="de-CH"/>
        </w:rPr>
      </w:pPr>
      <w:r w:rsidRPr="0088142B">
        <w:rPr>
          <w:rFonts w:ascii="Calibri" w:hAnsi="Calibri" w:cs="Calibri"/>
          <w:b/>
          <w:bCs/>
          <w:sz w:val="22"/>
          <w:lang w:val="de-CH"/>
        </w:rPr>
        <w:fldChar w:fldCharType="end"/>
      </w:r>
    </w:p>
    <w:p w14:paraId="2EF5B0D6" w14:textId="77777777" w:rsidR="00067D64" w:rsidRPr="00E14B57" w:rsidRDefault="00067D64" w:rsidP="00067D64">
      <w:pPr>
        <w:pStyle w:val="Caption"/>
        <w:rPr>
          <w:rFonts w:ascii="Calibri" w:hAnsi="Calibri" w:cs="Calibri"/>
          <w:i w:val="0"/>
          <w:iCs w:val="0"/>
          <w:color w:val="auto"/>
          <w:sz w:val="20"/>
          <w:szCs w:val="20"/>
        </w:rPr>
      </w:pPr>
    </w:p>
    <w:p w14:paraId="1F15E96F" w14:textId="77777777" w:rsidR="00894148" w:rsidRPr="00E14B57" w:rsidRDefault="00894148">
      <w:pPr>
        <w:widowControl/>
        <w:wordWrap/>
        <w:autoSpaceDE/>
        <w:autoSpaceDN/>
        <w:rPr>
          <w:rFonts w:ascii="Calibri" w:hAnsi="Calibri" w:cs="Calibri"/>
          <w:szCs w:val="20"/>
        </w:rPr>
      </w:pPr>
    </w:p>
    <w:sectPr w:rsidR="00894148" w:rsidRPr="00E14B57" w:rsidSect="0089414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8F76A" w14:textId="77777777" w:rsidR="00957A91" w:rsidRDefault="00957A91" w:rsidP="00AB5881">
      <w:pPr>
        <w:spacing w:after="0" w:line="240" w:lineRule="auto"/>
      </w:pPr>
      <w:r>
        <w:separator/>
      </w:r>
    </w:p>
  </w:endnote>
  <w:endnote w:type="continuationSeparator" w:id="0">
    <w:p w14:paraId="59D0FD46" w14:textId="77777777" w:rsidR="00957A91" w:rsidRDefault="00957A91" w:rsidP="00AB58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75F2D" w14:textId="77777777" w:rsidR="00957A91" w:rsidRDefault="00957A91" w:rsidP="00AB5881">
      <w:pPr>
        <w:spacing w:after="0" w:line="240" w:lineRule="auto"/>
      </w:pPr>
      <w:r>
        <w:separator/>
      </w:r>
    </w:p>
  </w:footnote>
  <w:footnote w:type="continuationSeparator" w:id="0">
    <w:p w14:paraId="33A88570" w14:textId="77777777" w:rsidR="00957A91" w:rsidRDefault="00957A91" w:rsidP="00AB58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B132B"/>
    <w:multiLevelType w:val="multilevel"/>
    <w:tmpl w:val="293E8A94"/>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4785669"/>
    <w:multiLevelType w:val="multilevel"/>
    <w:tmpl w:val="7880271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9B40DC6"/>
    <w:multiLevelType w:val="hybridMultilevel"/>
    <w:tmpl w:val="996AE8BE"/>
    <w:lvl w:ilvl="0" w:tplc="A430522A">
      <w:start w:val="1"/>
      <w:numFmt w:val="decimal"/>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3" w15:restartNumberingAfterBreak="0">
    <w:nsid w:val="2D4C6C0C"/>
    <w:multiLevelType w:val="multilevel"/>
    <w:tmpl w:val="9C12D5E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40FC47DB"/>
    <w:multiLevelType w:val="multilevel"/>
    <w:tmpl w:val="BF9A00D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468052D3"/>
    <w:multiLevelType w:val="hybridMultilevel"/>
    <w:tmpl w:val="434AC130"/>
    <w:lvl w:ilvl="0" w:tplc="217AC15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4A2A61D2"/>
    <w:multiLevelType w:val="multilevel"/>
    <w:tmpl w:val="1A80058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D2B2A85"/>
    <w:multiLevelType w:val="hybridMultilevel"/>
    <w:tmpl w:val="4F54AD22"/>
    <w:lvl w:ilvl="0" w:tplc="A808BB48">
      <w:start w:val="1"/>
      <w:numFmt w:val="decimal"/>
      <w:lvlText w:val="%1."/>
      <w:lvlJc w:val="left"/>
      <w:pPr>
        <w:ind w:left="760" w:hanging="36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6E9932A0"/>
    <w:multiLevelType w:val="hybridMultilevel"/>
    <w:tmpl w:val="257C8434"/>
    <w:lvl w:ilvl="0" w:tplc="B9C69484">
      <w:start w:val="1"/>
      <w:numFmt w:val="decimal"/>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7BA3725A"/>
    <w:multiLevelType w:val="hybridMultilevel"/>
    <w:tmpl w:val="7A92AE7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16cid:durableId="496111507">
    <w:abstractNumId w:val="9"/>
  </w:num>
  <w:num w:numId="2" w16cid:durableId="1872641633">
    <w:abstractNumId w:val="8"/>
  </w:num>
  <w:num w:numId="3" w16cid:durableId="1126855772">
    <w:abstractNumId w:val="7"/>
  </w:num>
  <w:num w:numId="4" w16cid:durableId="1360859906">
    <w:abstractNumId w:val="5"/>
  </w:num>
  <w:num w:numId="5" w16cid:durableId="438644601">
    <w:abstractNumId w:val="2"/>
  </w:num>
  <w:num w:numId="6" w16cid:durableId="1715039208">
    <w:abstractNumId w:val="3"/>
  </w:num>
  <w:num w:numId="7" w16cid:durableId="1118185885">
    <w:abstractNumId w:val="4"/>
  </w:num>
  <w:num w:numId="8" w16cid:durableId="934897170">
    <w:abstractNumId w:val="1"/>
  </w:num>
  <w:num w:numId="9" w16cid:durableId="962997152">
    <w:abstractNumId w:val="0"/>
  </w:num>
  <w:num w:numId="10" w16cid:durableId="4287026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835"/>
    <w:rsid w:val="00001B74"/>
    <w:rsid w:val="00001CF8"/>
    <w:rsid w:val="00001F40"/>
    <w:rsid w:val="00005AED"/>
    <w:rsid w:val="000124DC"/>
    <w:rsid w:val="0001343B"/>
    <w:rsid w:val="00015E63"/>
    <w:rsid w:val="000169D1"/>
    <w:rsid w:val="000178FB"/>
    <w:rsid w:val="0002037A"/>
    <w:rsid w:val="00030414"/>
    <w:rsid w:val="00030B8F"/>
    <w:rsid w:val="00032E85"/>
    <w:rsid w:val="00033358"/>
    <w:rsid w:val="00033B29"/>
    <w:rsid w:val="000437B3"/>
    <w:rsid w:val="00045159"/>
    <w:rsid w:val="00045214"/>
    <w:rsid w:val="00047AA6"/>
    <w:rsid w:val="00050EC8"/>
    <w:rsid w:val="00055511"/>
    <w:rsid w:val="0005784A"/>
    <w:rsid w:val="00066145"/>
    <w:rsid w:val="00067D64"/>
    <w:rsid w:val="000717D3"/>
    <w:rsid w:val="00072F02"/>
    <w:rsid w:val="0007660C"/>
    <w:rsid w:val="00080521"/>
    <w:rsid w:val="00080CE6"/>
    <w:rsid w:val="00082B14"/>
    <w:rsid w:val="0009040E"/>
    <w:rsid w:val="000976E7"/>
    <w:rsid w:val="000A7816"/>
    <w:rsid w:val="000B0CA9"/>
    <w:rsid w:val="000B1322"/>
    <w:rsid w:val="000B311D"/>
    <w:rsid w:val="000B3B58"/>
    <w:rsid w:val="000B49AF"/>
    <w:rsid w:val="000B5000"/>
    <w:rsid w:val="000B5221"/>
    <w:rsid w:val="000B6F99"/>
    <w:rsid w:val="000B73B5"/>
    <w:rsid w:val="000C09CD"/>
    <w:rsid w:val="000C1500"/>
    <w:rsid w:val="000C249B"/>
    <w:rsid w:val="000C38D1"/>
    <w:rsid w:val="000C5E1C"/>
    <w:rsid w:val="000D1013"/>
    <w:rsid w:val="000D2B71"/>
    <w:rsid w:val="000D2F14"/>
    <w:rsid w:val="000D479D"/>
    <w:rsid w:val="000E08FF"/>
    <w:rsid w:val="000E2855"/>
    <w:rsid w:val="000E7CBD"/>
    <w:rsid w:val="000F288F"/>
    <w:rsid w:val="000F3EC2"/>
    <w:rsid w:val="000F4E80"/>
    <w:rsid w:val="0010583B"/>
    <w:rsid w:val="00107060"/>
    <w:rsid w:val="00110376"/>
    <w:rsid w:val="0011154E"/>
    <w:rsid w:val="00113A3E"/>
    <w:rsid w:val="001146FE"/>
    <w:rsid w:val="00121B6D"/>
    <w:rsid w:val="001230AB"/>
    <w:rsid w:val="00130DFA"/>
    <w:rsid w:val="00131136"/>
    <w:rsid w:val="001316C6"/>
    <w:rsid w:val="00133150"/>
    <w:rsid w:val="001412E0"/>
    <w:rsid w:val="00144EAB"/>
    <w:rsid w:val="001479F3"/>
    <w:rsid w:val="001515DB"/>
    <w:rsid w:val="00155894"/>
    <w:rsid w:val="00157E91"/>
    <w:rsid w:val="0016271D"/>
    <w:rsid w:val="001637E8"/>
    <w:rsid w:val="0016412A"/>
    <w:rsid w:val="00164778"/>
    <w:rsid w:val="00164E50"/>
    <w:rsid w:val="00165736"/>
    <w:rsid w:val="00170996"/>
    <w:rsid w:val="00184845"/>
    <w:rsid w:val="00187F6B"/>
    <w:rsid w:val="00195385"/>
    <w:rsid w:val="001B05EC"/>
    <w:rsid w:val="001B59DE"/>
    <w:rsid w:val="001B66CF"/>
    <w:rsid w:val="001C2464"/>
    <w:rsid w:val="001C2485"/>
    <w:rsid w:val="001C7A49"/>
    <w:rsid w:val="001D1A8C"/>
    <w:rsid w:val="001D35E0"/>
    <w:rsid w:val="001D38CA"/>
    <w:rsid w:val="001E13BE"/>
    <w:rsid w:val="001E2349"/>
    <w:rsid w:val="001E5917"/>
    <w:rsid w:val="001E5A77"/>
    <w:rsid w:val="001E5BBE"/>
    <w:rsid w:val="001E7244"/>
    <w:rsid w:val="001F0861"/>
    <w:rsid w:val="001F24BC"/>
    <w:rsid w:val="001F2D2C"/>
    <w:rsid w:val="001F6E65"/>
    <w:rsid w:val="002012A8"/>
    <w:rsid w:val="002015C1"/>
    <w:rsid w:val="0020228C"/>
    <w:rsid w:val="00203AD3"/>
    <w:rsid w:val="00210DDA"/>
    <w:rsid w:val="00210EDC"/>
    <w:rsid w:val="00211522"/>
    <w:rsid w:val="00213E4A"/>
    <w:rsid w:val="002140EF"/>
    <w:rsid w:val="00220DD6"/>
    <w:rsid w:val="00221CA7"/>
    <w:rsid w:val="00222545"/>
    <w:rsid w:val="00222A9C"/>
    <w:rsid w:val="002237ED"/>
    <w:rsid w:val="00223EEB"/>
    <w:rsid w:val="00224A97"/>
    <w:rsid w:val="0023789B"/>
    <w:rsid w:val="0024385B"/>
    <w:rsid w:val="00247302"/>
    <w:rsid w:val="0025076B"/>
    <w:rsid w:val="00251B39"/>
    <w:rsid w:val="002522E9"/>
    <w:rsid w:val="00252C52"/>
    <w:rsid w:val="002530DF"/>
    <w:rsid w:val="00254CD3"/>
    <w:rsid w:val="002600DB"/>
    <w:rsid w:val="00260E81"/>
    <w:rsid w:val="00262514"/>
    <w:rsid w:val="00262A29"/>
    <w:rsid w:val="002713CE"/>
    <w:rsid w:val="00271F04"/>
    <w:rsid w:val="002728BC"/>
    <w:rsid w:val="002749A8"/>
    <w:rsid w:val="00274C59"/>
    <w:rsid w:val="00276988"/>
    <w:rsid w:val="002850E3"/>
    <w:rsid w:val="00286312"/>
    <w:rsid w:val="00286549"/>
    <w:rsid w:val="00287B22"/>
    <w:rsid w:val="00293F2A"/>
    <w:rsid w:val="00296F5E"/>
    <w:rsid w:val="002A1CFB"/>
    <w:rsid w:val="002A2E59"/>
    <w:rsid w:val="002A3567"/>
    <w:rsid w:val="002A3CAA"/>
    <w:rsid w:val="002A4B33"/>
    <w:rsid w:val="002B0B5E"/>
    <w:rsid w:val="002B21E3"/>
    <w:rsid w:val="002B6DCA"/>
    <w:rsid w:val="002C2820"/>
    <w:rsid w:val="002C359B"/>
    <w:rsid w:val="002C6C62"/>
    <w:rsid w:val="002C6D4F"/>
    <w:rsid w:val="002D1304"/>
    <w:rsid w:val="002D5534"/>
    <w:rsid w:val="002D6BE7"/>
    <w:rsid w:val="002E08EC"/>
    <w:rsid w:val="002E093C"/>
    <w:rsid w:val="002E1176"/>
    <w:rsid w:val="002E68FE"/>
    <w:rsid w:val="002E7242"/>
    <w:rsid w:val="002F056E"/>
    <w:rsid w:val="002F08A6"/>
    <w:rsid w:val="002F18AB"/>
    <w:rsid w:val="002F1EAA"/>
    <w:rsid w:val="002F241F"/>
    <w:rsid w:val="002F5A72"/>
    <w:rsid w:val="002F6835"/>
    <w:rsid w:val="002F695D"/>
    <w:rsid w:val="00300C78"/>
    <w:rsid w:val="0030331E"/>
    <w:rsid w:val="00303DD2"/>
    <w:rsid w:val="00303F9B"/>
    <w:rsid w:val="003046BE"/>
    <w:rsid w:val="003054FC"/>
    <w:rsid w:val="00305778"/>
    <w:rsid w:val="003133D4"/>
    <w:rsid w:val="00322228"/>
    <w:rsid w:val="003246DF"/>
    <w:rsid w:val="00325C01"/>
    <w:rsid w:val="0032624E"/>
    <w:rsid w:val="00327A35"/>
    <w:rsid w:val="00330E78"/>
    <w:rsid w:val="003352AA"/>
    <w:rsid w:val="00337D0A"/>
    <w:rsid w:val="003401FB"/>
    <w:rsid w:val="00342D25"/>
    <w:rsid w:val="003455E5"/>
    <w:rsid w:val="00351A11"/>
    <w:rsid w:val="00351E42"/>
    <w:rsid w:val="003548D6"/>
    <w:rsid w:val="00354FC7"/>
    <w:rsid w:val="00356932"/>
    <w:rsid w:val="00357D56"/>
    <w:rsid w:val="00363548"/>
    <w:rsid w:val="00364EF1"/>
    <w:rsid w:val="00373AA1"/>
    <w:rsid w:val="00374331"/>
    <w:rsid w:val="003765C6"/>
    <w:rsid w:val="00377E52"/>
    <w:rsid w:val="00381BB2"/>
    <w:rsid w:val="00381E83"/>
    <w:rsid w:val="00385192"/>
    <w:rsid w:val="003867DB"/>
    <w:rsid w:val="003946FD"/>
    <w:rsid w:val="00395336"/>
    <w:rsid w:val="003A02A8"/>
    <w:rsid w:val="003A6E16"/>
    <w:rsid w:val="003A7402"/>
    <w:rsid w:val="003B078F"/>
    <w:rsid w:val="003B1620"/>
    <w:rsid w:val="003B4A51"/>
    <w:rsid w:val="003B66A8"/>
    <w:rsid w:val="003B725F"/>
    <w:rsid w:val="003B788C"/>
    <w:rsid w:val="003C1A0A"/>
    <w:rsid w:val="003C6D85"/>
    <w:rsid w:val="003D05D5"/>
    <w:rsid w:val="003D1578"/>
    <w:rsid w:val="003D340F"/>
    <w:rsid w:val="003D37A9"/>
    <w:rsid w:val="003D76B8"/>
    <w:rsid w:val="003E2DCF"/>
    <w:rsid w:val="003E2F1D"/>
    <w:rsid w:val="003E5211"/>
    <w:rsid w:val="003E5225"/>
    <w:rsid w:val="003E627C"/>
    <w:rsid w:val="003F02F9"/>
    <w:rsid w:val="003F1C3B"/>
    <w:rsid w:val="003F29FD"/>
    <w:rsid w:val="003F6FF1"/>
    <w:rsid w:val="00400C2D"/>
    <w:rsid w:val="00404638"/>
    <w:rsid w:val="00404E8E"/>
    <w:rsid w:val="00411315"/>
    <w:rsid w:val="00413480"/>
    <w:rsid w:val="004147BE"/>
    <w:rsid w:val="00417661"/>
    <w:rsid w:val="00417ACD"/>
    <w:rsid w:val="00421C3D"/>
    <w:rsid w:val="0042359F"/>
    <w:rsid w:val="004249B7"/>
    <w:rsid w:val="00424A55"/>
    <w:rsid w:val="004261BF"/>
    <w:rsid w:val="00430BA4"/>
    <w:rsid w:val="0043235F"/>
    <w:rsid w:val="00433989"/>
    <w:rsid w:val="00433A01"/>
    <w:rsid w:val="00440824"/>
    <w:rsid w:val="00441DA2"/>
    <w:rsid w:val="00442FB0"/>
    <w:rsid w:val="0044359F"/>
    <w:rsid w:val="00444BB7"/>
    <w:rsid w:val="00445A5A"/>
    <w:rsid w:val="00446345"/>
    <w:rsid w:val="00446521"/>
    <w:rsid w:val="004470FA"/>
    <w:rsid w:val="00454430"/>
    <w:rsid w:val="00456569"/>
    <w:rsid w:val="00462F4E"/>
    <w:rsid w:val="0046350E"/>
    <w:rsid w:val="0046640D"/>
    <w:rsid w:val="00472645"/>
    <w:rsid w:val="00476194"/>
    <w:rsid w:val="004762DC"/>
    <w:rsid w:val="00483C66"/>
    <w:rsid w:val="0048655A"/>
    <w:rsid w:val="00487B9D"/>
    <w:rsid w:val="0049084A"/>
    <w:rsid w:val="00491C5B"/>
    <w:rsid w:val="00493987"/>
    <w:rsid w:val="00493CDF"/>
    <w:rsid w:val="0049799C"/>
    <w:rsid w:val="004A2BB1"/>
    <w:rsid w:val="004A6951"/>
    <w:rsid w:val="004B4031"/>
    <w:rsid w:val="004B5095"/>
    <w:rsid w:val="004B7CDD"/>
    <w:rsid w:val="004C038A"/>
    <w:rsid w:val="004C0469"/>
    <w:rsid w:val="004C285A"/>
    <w:rsid w:val="004C2F3A"/>
    <w:rsid w:val="004E0E69"/>
    <w:rsid w:val="004F0AA2"/>
    <w:rsid w:val="004F4307"/>
    <w:rsid w:val="004F5373"/>
    <w:rsid w:val="004F6100"/>
    <w:rsid w:val="004F6E89"/>
    <w:rsid w:val="005020DF"/>
    <w:rsid w:val="0050426C"/>
    <w:rsid w:val="0051004B"/>
    <w:rsid w:val="00511E80"/>
    <w:rsid w:val="00512522"/>
    <w:rsid w:val="00515205"/>
    <w:rsid w:val="00517689"/>
    <w:rsid w:val="00517811"/>
    <w:rsid w:val="00522EE6"/>
    <w:rsid w:val="005241AD"/>
    <w:rsid w:val="00526CF0"/>
    <w:rsid w:val="00526DC5"/>
    <w:rsid w:val="005278EA"/>
    <w:rsid w:val="00533492"/>
    <w:rsid w:val="00533E33"/>
    <w:rsid w:val="005377F5"/>
    <w:rsid w:val="00537B6A"/>
    <w:rsid w:val="005431E2"/>
    <w:rsid w:val="00544FF8"/>
    <w:rsid w:val="00545187"/>
    <w:rsid w:val="00547AB4"/>
    <w:rsid w:val="005518C4"/>
    <w:rsid w:val="005540A2"/>
    <w:rsid w:val="00556137"/>
    <w:rsid w:val="00565543"/>
    <w:rsid w:val="00566442"/>
    <w:rsid w:val="00566549"/>
    <w:rsid w:val="00571508"/>
    <w:rsid w:val="00572572"/>
    <w:rsid w:val="00574AB2"/>
    <w:rsid w:val="0057538E"/>
    <w:rsid w:val="0057659B"/>
    <w:rsid w:val="0057702F"/>
    <w:rsid w:val="00582643"/>
    <w:rsid w:val="0058317A"/>
    <w:rsid w:val="005838B8"/>
    <w:rsid w:val="0058498D"/>
    <w:rsid w:val="00585AAF"/>
    <w:rsid w:val="005875EE"/>
    <w:rsid w:val="00594D46"/>
    <w:rsid w:val="00596F49"/>
    <w:rsid w:val="00597B98"/>
    <w:rsid w:val="005A0D76"/>
    <w:rsid w:val="005A159D"/>
    <w:rsid w:val="005B2689"/>
    <w:rsid w:val="005B4BBA"/>
    <w:rsid w:val="005B51EC"/>
    <w:rsid w:val="005B5512"/>
    <w:rsid w:val="005B58B1"/>
    <w:rsid w:val="005B60B0"/>
    <w:rsid w:val="005B66C5"/>
    <w:rsid w:val="005B70B9"/>
    <w:rsid w:val="005C39AA"/>
    <w:rsid w:val="005C6682"/>
    <w:rsid w:val="005C6C99"/>
    <w:rsid w:val="005C6CF8"/>
    <w:rsid w:val="005D069B"/>
    <w:rsid w:val="005E21C7"/>
    <w:rsid w:val="005E263F"/>
    <w:rsid w:val="005E3241"/>
    <w:rsid w:val="005E4CB0"/>
    <w:rsid w:val="005E5637"/>
    <w:rsid w:val="005F0F54"/>
    <w:rsid w:val="005F7B5F"/>
    <w:rsid w:val="00601699"/>
    <w:rsid w:val="00602098"/>
    <w:rsid w:val="00603E62"/>
    <w:rsid w:val="006078E9"/>
    <w:rsid w:val="0061084F"/>
    <w:rsid w:val="00610CD5"/>
    <w:rsid w:val="00616066"/>
    <w:rsid w:val="006171AF"/>
    <w:rsid w:val="00617BE0"/>
    <w:rsid w:val="0062022F"/>
    <w:rsid w:val="006206CF"/>
    <w:rsid w:val="00621FF3"/>
    <w:rsid w:val="00624158"/>
    <w:rsid w:val="00626361"/>
    <w:rsid w:val="00631E2A"/>
    <w:rsid w:val="006331E2"/>
    <w:rsid w:val="0063746F"/>
    <w:rsid w:val="00640326"/>
    <w:rsid w:val="00640992"/>
    <w:rsid w:val="00640A67"/>
    <w:rsid w:val="00640E82"/>
    <w:rsid w:val="00644062"/>
    <w:rsid w:val="00645D17"/>
    <w:rsid w:val="00652FEC"/>
    <w:rsid w:val="0065607F"/>
    <w:rsid w:val="00664702"/>
    <w:rsid w:val="00670FC9"/>
    <w:rsid w:val="00673CD3"/>
    <w:rsid w:val="006757F2"/>
    <w:rsid w:val="006777FF"/>
    <w:rsid w:val="00682727"/>
    <w:rsid w:val="00683657"/>
    <w:rsid w:val="00690E67"/>
    <w:rsid w:val="00694301"/>
    <w:rsid w:val="006A0CBC"/>
    <w:rsid w:val="006A12B3"/>
    <w:rsid w:val="006A1E08"/>
    <w:rsid w:val="006A4AFC"/>
    <w:rsid w:val="006A50FB"/>
    <w:rsid w:val="006A57BC"/>
    <w:rsid w:val="006A5BEC"/>
    <w:rsid w:val="006A5D25"/>
    <w:rsid w:val="006B35C5"/>
    <w:rsid w:val="006C28F8"/>
    <w:rsid w:val="006C57CE"/>
    <w:rsid w:val="006D24D3"/>
    <w:rsid w:val="006D2FCF"/>
    <w:rsid w:val="006D33E7"/>
    <w:rsid w:val="006E0870"/>
    <w:rsid w:val="006E26ED"/>
    <w:rsid w:val="006E4682"/>
    <w:rsid w:val="006E680C"/>
    <w:rsid w:val="006E6F97"/>
    <w:rsid w:val="006F026C"/>
    <w:rsid w:val="006F3AE9"/>
    <w:rsid w:val="006F65B2"/>
    <w:rsid w:val="0070169C"/>
    <w:rsid w:val="0070212D"/>
    <w:rsid w:val="007046F3"/>
    <w:rsid w:val="007051CB"/>
    <w:rsid w:val="00710BA2"/>
    <w:rsid w:val="0071215C"/>
    <w:rsid w:val="00715F81"/>
    <w:rsid w:val="00721267"/>
    <w:rsid w:val="007222CF"/>
    <w:rsid w:val="007233CD"/>
    <w:rsid w:val="00724A52"/>
    <w:rsid w:val="00726A9B"/>
    <w:rsid w:val="00732B0A"/>
    <w:rsid w:val="00735AC5"/>
    <w:rsid w:val="007427A7"/>
    <w:rsid w:val="00743763"/>
    <w:rsid w:val="0074474F"/>
    <w:rsid w:val="00746474"/>
    <w:rsid w:val="00746A95"/>
    <w:rsid w:val="00747F33"/>
    <w:rsid w:val="00753B6C"/>
    <w:rsid w:val="00754008"/>
    <w:rsid w:val="0075580F"/>
    <w:rsid w:val="00764349"/>
    <w:rsid w:val="0077163A"/>
    <w:rsid w:val="00772304"/>
    <w:rsid w:val="007724E0"/>
    <w:rsid w:val="00773684"/>
    <w:rsid w:val="00774143"/>
    <w:rsid w:val="007765B8"/>
    <w:rsid w:val="00777F33"/>
    <w:rsid w:val="00780373"/>
    <w:rsid w:val="00785F4F"/>
    <w:rsid w:val="00786AA1"/>
    <w:rsid w:val="00792607"/>
    <w:rsid w:val="00792F20"/>
    <w:rsid w:val="00793743"/>
    <w:rsid w:val="007A06C1"/>
    <w:rsid w:val="007A5346"/>
    <w:rsid w:val="007B0AD9"/>
    <w:rsid w:val="007B33F4"/>
    <w:rsid w:val="007C057D"/>
    <w:rsid w:val="007D126F"/>
    <w:rsid w:val="007D13F8"/>
    <w:rsid w:val="007D4B5E"/>
    <w:rsid w:val="007D5B1A"/>
    <w:rsid w:val="007E1D1B"/>
    <w:rsid w:val="007E1F33"/>
    <w:rsid w:val="007E381B"/>
    <w:rsid w:val="007E42B9"/>
    <w:rsid w:val="007E500B"/>
    <w:rsid w:val="007F089E"/>
    <w:rsid w:val="007F09F1"/>
    <w:rsid w:val="007F0CE9"/>
    <w:rsid w:val="007F197B"/>
    <w:rsid w:val="007F5036"/>
    <w:rsid w:val="00801907"/>
    <w:rsid w:val="00803E1B"/>
    <w:rsid w:val="008042D9"/>
    <w:rsid w:val="008074E2"/>
    <w:rsid w:val="008112C4"/>
    <w:rsid w:val="0081429D"/>
    <w:rsid w:val="00814FAF"/>
    <w:rsid w:val="00816A6D"/>
    <w:rsid w:val="00816EFC"/>
    <w:rsid w:val="008176CD"/>
    <w:rsid w:val="00820FA7"/>
    <w:rsid w:val="008242E1"/>
    <w:rsid w:val="00824E71"/>
    <w:rsid w:val="008268B6"/>
    <w:rsid w:val="00840F72"/>
    <w:rsid w:val="00843BDD"/>
    <w:rsid w:val="00850960"/>
    <w:rsid w:val="00850B90"/>
    <w:rsid w:val="00851C81"/>
    <w:rsid w:val="00851F18"/>
    <w:rsid w:val="0085559D"/>
    <w:rsid w:val="008559F2"/>
    <w:rsid w:val="00855C04"/>
    <w:rsid w:val="0085675D"/>
    <w:rsid w:val="00857AE1"/>
    <w:rsid w:val="008615B3"/>
    <w:rsid w:val="00861BE6"/>
    <w:rsid w:val="008625AB"/>
    <w:rsid w:val="00865A3B"/>
    <w:rsid w:val="00867F4B"/>
    <w:rsid w:val="00871D86"/>
    <w:rsid w:val="0088007F"/>
    <w:rsid w:val="00880241"/>
    <w:rsid w:val="0088142B"/>
    <w:rsid w:val="00882755"/>
    <w:rsid w:val="00884EA7"/>
    <w:rsid w:val="00886DB2"/>
    <w:rsid w:val="00892A1C"/>
    <w:rsid w:val="00894148"/>
    <w:rsid w:val="00895C37"/>
    <w:rsid w:val="00896FDC"/>
    <w:rsid w:val="008A2952"/>
    <w:rsid w:val="008A54CE"/>
    <w:rsid w:val="008B2208"/>
    <w:rsid w:val="008B5270"/>
    <w:rsid w:val="008B63F2"/>
    <w:rsid w:val="008C5A9E"/>
    <w:rsid w:val="008C747C"/>
    <w:rsid w:val="008D32B1"/>
    <w:rsid w:val="008D5107"/>
    <w:rsid w:val="008D5743"/>
    <w:rsid w:val="008E29A1"/>
    <w:rsid w:val="008E4092"/>
    <w:rsid w:val="008E57DC"/>
    <w:rsid w:val="008E6152"/>
    <w:rsid w:val="008F16F1"/>
    <w:rsid w:val="008F2656"/>
    <w:rsid w:val="008F4140"/>
    <w:rsid w:val="008F4338"/>
    <w:rsid w:val="00901D29"/>
    <w:rsid w:val="0090268B"/>
    <w:rsid w:val="0090284B"/>
    <w:rsid w:val="0090334E"/>
    <w:rsid w:val="00910CA5"/>
    <w:rsid w:val="00913164"/>
    <w:rsid w:val="00913D9A"/>
    <w:rsid w:val="00916BE2"/>
    <w:rsid w:val="0093743E"/>
    <w:rsid w:val="00937508"/>
    <w:rsid w:val="0094079B"/>
    <w:rsid w:val="0094141E"/>
    <w:rsid w:val="009431DC"/>
    <w:rsid w:val="00946608"/>
    <w:rsid w:val="00946FD5"/>
    <w:rsid w:val="009507A1"/>
    <w:rsid w:val="00950B70"/>
    <w:rsid w:val="009529B3"/>
    <w:rsid w:val="00952A51"/>
    <w:rsid w:val="009532AF"/>
    <w:rsid w:val="00953D05"/>
    <w:rsid w:val="0095465A"/>
    <w:rsid w:val="009566E8"/>
    <w:rsid w:val="00957A91"/>
    <w:rsid w:val="009600A9"/>
    <w:rsid w:val="00962648"/>
    <w:rsid w:val="009649F9"/>
    <w:rsid w:val="00965644"/>
    <w:rsid w:val="00970778"/>
    <w:rsid w:val="00974DF1"/>
    <w:rsid w:val="00980F36"/>
    <w:rsid w:val="009812C0"/>
    <w:rsid w:val="00982F66"/>
    <w:rsid w:val="00984545"/>
    <w:rsid w:val="009872A6"/>
    <w:rsid w:val="009933AA"/>
    <w:rsid w:val="009941D6"/>
    <w:rsid w:val="009A1948"/>
    <w:rsid w:val="009A1F43"/>
    <w:rsid w:val="009A5CCA"/>
    <w:rsid w:val="009A68EB"/>
    <w:rsid w:val="009B12BB"/>
    <w:rsid w:val="009B47F2"/>
    <w:rsid w:val="009D3802"/>
    <w:rsid w:val="009D4C86"/>
    <w:rsid w:val="009D6F53"/>
    <w:rsid w:val="009E18EC"/>
    <w:rsid w:val="009E3C80"/>
    <w:rsid w:val="009E499C"/>
    <w:rsid w:val="009F01D5"/>
    <w:rsid w:val="009F040E"/>
    <w:rsid w:val="009F739B"/>
    <w:rsid w:val="00A01386"/>
    <w:rsid w:val="00A014BD"/>
    <w:rsid w:val="00A05404"/>
    <w:rsid w:val="00A06723"/>
    <w:rsid w:val="00A069D5"/>
    <w:rsid w:val="00A148D9"/>
    <w:rsid w:val="00A149B7"/>
    <w:rsid w:val="00A207F5"/>
    <w:rsid w:val="00A2512D"/>
    <w:rsid w:val="00A26C21"/>
    <w:rsid w:val="00A31B6A"/>
    <w:rsid w:val="00A32EB9"/>
    <w:rsid w:val="00A42F20"/>
    <w:rsid w:val="00A433EB"/>
    <w:rsid w:val="00A44F5A"/>
    <w:rsid w:val="00A469CF"/>
    <w:rsid w:val="00A475E3"/>
    <w:rsid w:val="00A517E6"/>
    <w:rsid w:val="00A52C79"/>
    <w:rsid w:val="00A532F7"/>
    <w:rsid w:val="00A650A6"/>
    <w:rsid w:val="00A66123"/>
    <w:rsid w:val="00A71E01"/>
    <w:rsid w:val="00A71E4F"/>
    <w:rsid w:val="00A725EF"/>
    <w:rsid w:val="00A72FB8"/>
    <w:rsid w:val="00A7354A"/>
    <w:rsid w:val="00A739D2"/>
    <w:rsid w:val="00A75D80"/>
    <w:rsid w:val="00A76DCE"/>
    <w:rsid w:val="00A808AB"/>
    <w:rsid w:val="00A81CBA"/>
    <w:rsid w:val="00A84B48"/>
    <w:rsid w:val="00A85549"/>
    <w:rsid w:val="00A85AC7"/>
    <w:rsid w:val="00A87412"/>
    <w:rsid w:val="00A87439"/>
    <w:rsid w:val="00A903CE"/>
    <w:rsid w:val="00A913F0"/>
    <w:rsid w:val="00A92C91"/>
    <w:rsid w:val="00A92DB0"/>
    <w:rsid w:val="00AA0B39"/>
    <w:rsid w:val="00AA2379"/>
    <w:rsid w:val="00AA5424"/>
    <w:rsid w:val="00AA75A6"/>
    <w:rsid w:val="00AA7D8E"/>
    <w:rsid w:val="00AB08D7"/>
    <w:rsid w:val="00AB35D3"/>
    <w:rsid w:val="00AB3EAF"/>
    <w:rsid w:val="00AB5881"/>
    <w:rsid w:val="00AB7235"/>
    <w:rsid w:val="00AC572F"/>
    <w:rsid w:val="00AC6B9F"/>
    <w:rsid w:val="00AC6E0C"/>
    <w:rsid w:val="00AD139D"/>
    <w:rsid w:val="00AD27A6"/>
    <w:rsid w:val="00AD4442"/>
    <w:rsid w:val="00AD4668"/>
    <w:rsid w:val="00AD4754"/>
    <w:rsid w:val="00AE4A26"/>
    <w:rsid w:val="00AE4A30"/>
    <w:rsid w:val="00AE59B2"/>
    <w:rsid w:val="00AE6BCE"/>
    <w:rsid w:val="00AE75D1"/>
    <w:rsid w:val="00AF03BD"/>
    <w:rsid w:val="00AF2195"/>
    <w:rsid w:val="00AF68DF"/>
    <w:rsid w:val="00AF72D1"/>
    <w:rsid w:val="00B02DD7"/>
    <w:rsid w:val="00B03922"/>
    <w:rsid w:val="00B05242"/>
    <w:rsid w:val="00B101E8"/>
    <w:rsid w:val="00B14D7D"/>
    <w:rsid w:val="00B17FC6"/>
    <w:rsid w:val="00B218AB"/>
    <w:rsid w:val="00B24115"/>
    <w:rsid w:val="00B2658F"/>
    <w:rsid w:val="00B300FA"/>
    <w:rsid w:val="00B31B84"/>
    <w:rsid w:val="00B3303D"/>
    <w:rsid w:val="00B34FAB"/>
    <w:rsid w:val="00B35F38"/>
    <w:rsid w:val="00B3686B"/>
    <w:rsid w:val="00B4450E"/>
    <w:rsid w:val="00B46F6E"/>
    <w:rsid w:val="00B47426"/>
    <w:rsid w:val="00B474CD"/>
    <w:rsid w:val="00B643DE"/>
    <w:rsid w:val="00B65976"/>
    <w:rsid w:val="00B6712F"/>
    <w:rsid w:val="00B70C68"/>
    <w:rsid w:val="00B717B9"/>
    <w:rsid w:val="00B76193"/>
    <w:rsid w:val="00B85B4D"/>
    <w:rsid w:val="00B93256"/>
    <w:rsid w:val="00BA0A80"/>
    <w:rsid w:val="00BA1D6F"/>
    <w:rsid w:val="00BA34CB"/>
    <w:rsid w:val="00BA4F2A"/>
    <w:rsid w:val="00BB1E7F"/>
    <w:rsid w:val="00BB22BE"/>
    <w:rsid w:val="00BB6EF6"/>
    <w:rsid w:val="00BB6F9F"/>
    <w:rsid w:val="00BB7988"/>
    <w:rsid w:val="00BC2DAD"/>
    <w:rsid w:val="00BC3F05"/>
    <w:rsid w:val="00BC4190"/>
    <w:rsid w:val="00BD0CD4"/>
    <w:rsid w:val="00BD41AA"/>
    <w:rsid w:val="00BD5722"/>
    <w:rsid w:val="00BD75E0"/>
    <w:rsid w:val="00BD7EA9"/>
    <w:rsid w:val="00BE1D1F"/>
    <w:rsid w:val="00BE32CF"/>
    <w:rsid w:val="00BE4723"/>
    <w:rsid w:val="00BE5555"/>
    <w:rsid w:val="00BF1AE7"/>
    <w:rsid w:val="00BF2A45"/>
    <w:rsid w:val="00BF65D4"/>
    <w:rsid w:val="00BF6F32"/>
    <w:rsid w:val="00C04667"/>
    <w:rsid w:val="00C0493F"/>
    <w:rsid w:val="00C04A9C"/>
    <w:rsid w:val="00C04B7E"/>
    <w:rsid w:val="00C06C41"/>
    <w:rsid w:val="00C101FC"/>
    <w:rsid w:val="00C124BC"/>
    <w:rsid w:val="00C16DEF"/>
    <w:rsid w:val="00C17AB6"/>
    <w:rsid w:val="00C218D6"/>
    <w:rsid w:val="00C21B70"/>
    <w:rsid w:val="00C268E9"/>
    <w:rsid w:val="00C3177B"/>
    <w:rsid w:val="00C31E04"/>
    <w:rsid w:val="00C348F1"/>
    <w:rsid w:val="00C34EB1"/>
    <w:rsid w:val="00C36C3A"/>
    <w:rsid w:val="00C431D9"/>
    <w:rsid w:val="00C44404"/>
    <w:rsid w:val="00C44629"/>
    <w:rsid w:val="00C558DE"/>
    <w:rsid w:val="00C57840"/>
    <w:rsid w:val="00C601F9"/>
    <w:rsid w:val="00C60BFA"/>
    <w:rsid w:val="00C6297C"/>
    <w:rsid w:val="00C63216"/>
    <w:rsid w:val="00C71221"/>
    <w:rsid w:val="00C76A1A"/>
    <w:rsid w:val="00C81240"/>
    <w:rsid w:val="00C8494F"/>
    <w:rsid w:val="00C84FC5"/>
    <w:rsid w:val="00C87CE3"/>
    <w:rsid w:val="00C87EB3"/>
    <w:rsid w:val="00C91A29"/>
    <w:rsid w:val="00C9251D"/>
    <w:rsid w:val="00C928FE"/>
    <w:rsid w:val="00C9346A"/>
    <w:rsid w:val="00CA14CD"/>
    <w:rsid w:val="00CA3B17"/>
    <w:rsid w:val="00CB1443"/>
    <w:rsid w:val="00CB2CA2"/>
    <w:rsid w:val="00CB324E"/>
    <w:rsid w:val="00CB4925"/>
    <w:rsid w:val="00CC3A5B"/>
    <w:rsid w:val="00CC3C04"/>
    <w:rsid w:val="00CC4B7E"/>
    <w:rsid w:val="00CC7ED7"/>
    <w:rsid w:val="00CD0761"/>
    <w:rsid w:val="00CD1494"/>
    <w:rsid w:val="00CD2A67"/>
    <w:rsid w:val="00CD5D45"/>
    <w:rsid w:val="00CD7971"/>
    <w:rsid w:val="00CE1F11"/>
    <w:rsid w:val="00CE7497"/>
    <w:rsid w:val="00CF0C6C"/>
    <w:rsid w:val="00CF2C6E"/>
    <w:rsid w:val="00CF3E4E"/>
    <w:rsid w:val="00CF6C10"/>
    <w:rsid w:val="00D01443"/>
    <w:rsid w:val="00D031E8"/>
    <w:rsid w:val="00D05C5B"/>
    <w:rsid w:val="00D10013"/>
    <w:rsid w:val="00D108C2"/>
    <w:rsid w:val="00D12691"/>
    <w:rsid w:val="00D16D3E"/>
    <w:rsid w:val="00D179CF"/>
    <w:rsid w:val="00D25449"/>
    <w:rsid w:val="00D40A15"/>
    <w:rsid w:val="00D42476"/>
    <w:rsid w:val="00D4544F"/>
    <w:rsid w:val="00D46FFD"/>
    <w:rsid w:val="00D47327"/>
    <w:rsid w:val="00D5003B"/>
    <w:rsid w:val="00D505DA"/>
    <w:rsid w:val="00D545D0"/>
    <w:rsid w:val="00D548D0"/>
    <w:rsid w:val="00D60195"/>
    <w:rsid w:val="00D604C0"/>
    <w:rsid w:val="00D64717"/>
    <w:rsid w:val="00D70E4C"/>
    <w:rsid w:val="00D72827"/>
    <w:rsid w:val="00D72DD3"/>
    <w:rsid w:val="00D749D8"/>
    <w:rsid w:val="00D81356"/>
    <w:rsid w:val="00D81CB6"/>
    <w:rsid w:val="00D8304B"/>
    <w:rsid w:val="00D86DE1"/>
    <w:rsid w:val="00D94169"/>
    <w:rsid w:val="00D94989"/>
    <w:rsid w:val="00D94E72"/>
    <w:rsid w:val="00D950BB"/>
    <w:rsid w:val="00D96602"/>
    <w:rsid w:val="00D96F48"/>
    <w:rsid w:val="00D971E3"/>
    <w:rsid w:val="00DA3920"/>
    <w:rsid w:val="00DA65F0"/>
    <w:rsid w:val="00DA67D4"/>
    <w:rsid w:val="00DB07F6"/>
    <w:rsid w:val="00DC052B"/>
    <w:rsid w:val="00DC427B"/>
    <w:rsid w:val="00DC4DA6"/>
    <w:rsid w:val="00DC5A43"/>
    <w:rsid w:val="00DD0C94"/>
    <w:rsid w:val="00DD2A7F"/>
    <w:rsid w:val="00DD31F4"/>
    <w:rsid w:val="00DD4D56"/>
    <w:rsid w:val="00DD7F01"/>
    <w:rsid w:val="00DE62D6"/>
    <w:rsid w:val="00DE6AAD"/>
    <w:rsid w:val="00DF32B4"/>
    <w:rsid w:val="00DF50CE"/>
    <w:rsid w:val="00DF5F79"/>
    <w:rsid w:val="00DF754A"/>
    <w:rsid w:val="00DF7725"/>
    <w:rsid w:val="00E008B3"/>
    <w:rsid w:val="00E05218"/>
    <w:rsid w:val="00E14B57"/>
    <w:rsid w:val="00E151BD"/>
    <w:rsid w:val="00E16801"/>
    <w:rsid w:val="00E16CF9"/>
    <w:rsid w:val="00E17AC6"/>
    <w:rsid w:val="00E20BA3"/>
    <w:rsid w:val="00E23CDC"/>
    <w:rsid w:val="00E24C5F"/>
    <w:rsid w:val="00E262C3"/>
    <w:rsid w:val="00E27530"/>
    <w:rsid w:val="00E30C9D"/>
    <w:rsid w:val="00E37697"/>
    <w:rsid w:val="00E40E2B"/>
    <w:rsid w:val="00E43545"/>
    <w:rsid w:val="00E451F6"/>
    <w:rsid w:val="00E45E27"/>
    <w:rsid w:val="00E46624"/>
    <w:rsid w:val="00E46A8C"/>
    <w:rsid w:val="00E50273"/>
    <w:rsid w:val="00E51930"/>
    <w:rsid w:val="00E52221"/>
    <w:rsid w:val="00E547A8"/>
    <w:rsid w:val="00E56985"/>
    <w:rsid w:val="00E61E9E"/>
    <w:rsid w:val="00E62D2F"/>
    <w:rsid w:val="00E712F2"/>
    <w:rsid w:val="00E71E90"/>
    <w:rsid w:val="00E73DD2"/>
    <w:rsid w:val="00E773FE"/>
    <w:rsid w:val="00E84584"/>
    <w:rsid w:val="00E855E7"/>
    <w:rsid w:val="00E90193"/>
    <w:rsid w:val="00E927E1"/>
    <w:rsid w:val="00E941A2"/>
    <w:rsid w:val="00E95F52"/>
    <w:rsid w:val="00EA17A5"/>
    <w:rsid w:val="00EA1844"/>
    <w:rsid w:val="00EA3B56"/>
    <w:rsid w:val="00EA40C0"/>
    <w:rsid w:val="00EA552C"/>
    <w:rsid w:val="00EB1E59"/>
    <w:rsid w:val="00EB2106"/>
    <w:rsid w:val="00EB44E3"/>
    <w:rsid w:val="00EB5732"/>
    <w:rsid w:val="00EB711D"/>
    <w:rsid w:val="00EC10AA"/>
    <w:rsid w:val="00EC4603"/>
    <w:rsid w:val="00EC7C8A"/>
    <w:rsid w:val="00ED0BC9"/>
    <w:rsid w:val="00ED5AA8"/>
    <w:rsid w:val="00EE2456"/>
    <w:rsid w:val="00EE2A9D"/>
    <w:rsid w:val="00EE2D0E"/>
    <w:rsid w:val="00EE499A"/>
    <w:rsid w:val="00EE67CB"/>
    <w:rsid w:val="00EE7D44"/>
    <w:rsid w:val="00EF0023"/>
    <w:rsid w:val="00EF48D3"/>
    <w:rsid w:val="00EF4C5C"/>
    <w:rsid w:val="00EF5AD3"/>
    <w:rsid w:val="00EF7B9F"/>
    <w:rsid w:val="00F0092D"/>
    <w:rsid w:val="00F01809"/>
    <w:rsid w:val="00F11032"/>
    <w:rsid w:val="00F13EAF"/>
    <w:rsid w:val="00F17E2B"/>
    <w:rsid w:val="00F17F60"/>
    <w:rsid w:val="00F33933"/>
    <w:rsid w:val="00F34A07"/>
    <w:rsid w:val="00F35AF4"/>
    <w:rsid w:val="00F418C0"/>
    <w:rsid w:val="00F41A43"/>
    <w:rsid w:val="00F428B5"/>
    <w:rsid w:val="00F45BB3"/>
    <w:rsid w:val="00F53760"/>
    <w:rsid w:val="00F57A9F"/>
    <w:rsid w:val="00F603F8"/>
    <w:rsid w:val="00F632A2"/>
    <w:rsid w:val="00F6378E"/>
    <w:rsid w:val="00F648E7"/>
    <w:rsid w:val="00F654F9"/>
    <w:rsid w:val="00F66979"/>
    <w:rsid w:val="00F7034A"/>
    <w:rsid w:val="00F72EE9"/>
    <w:rsid w:val="00F754CB"/>
    <w:rsid w:val="00F7604F"/>
    <w:rsid w:val="00F77A8C"/>
    <w:rsid w:val="00F77BE8"/>
    <w:rsid w:val="00F77FEE"/>
    <w:rsid w:val="00F84708"/>
    <w:rsid w:val="00F8693C"/>
    <w:rsid w:val="00F86AEF"/>
    <w:rsid w:val="00F927F3"/>
    <w:rsid w:val="00F9436D"/>
    <w:rsid w:val="00F954D9"/>
    <w:rsid w:val="00FA31EE"/>
    <w:rsid w:val="00FA38BA"/>
    <w:rsid w:val="00FB2AB1"/>
    <w:rsid w:val="00FB3A4C"/>
    <w:rsid w:val="00FB3B38"/>
    <w:rsid w:val="00FB55A9"/>
    <w:rsid w:val="00FB71CE"/>
    <w:rsid w:val="00FC2565"/>
    <w:rsid w:val="00FC28CE"/>
    <w:rsid w:val="00FC6346"/>
    <w:rsid w:val="00FC7FF0"/>
    <w:rsid w:val="00FD04E2"/>
    <w:rsid w:val="00FD12AF"/>
    <w:rsid w:val="00FD621C"/>
    <w:rsid w:val="00FD6AD4"/>
    <w:rsid w:val="00FE4047"/>
    <w:rsid w:val="00FE681D"/>
    <w:rsid w:val="00FF4722"/>
    <w:rsid w:val="00FF511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519BB1"/>
  <w15:chartTrackingRefBased/>
  <w15:docId w15:val="{662BE739-372A-42FB-B20B-D715255E1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543"/>
    <w:pPr>
      <w:ind w:leftChars="400" w:left="800"/>
    </w:pPr>
  </w:style>
  <w:style w:type="paragraph" w:styleId="Header">
    <w:name w:val="header"/>
    <w:basedOn w:val="Normal"/>
    <w:link w:val="HeaderChar"/>
    <w:uiPriority w:val="99"/>
    <w:unhideWhenUsed/>
    <w:rsid w:val="00AB5881"/>
    <w:pPr>
      <w:tabs>
        <w:tab w:val="center" w:pos="4513"/>
        <w:tab w:val="right" w:pos="9026"/>
      </w:tabs>
      <w:snapToGrid w:val="0"/>
    </w:pPr>
  </w:style>
  <w:style w:type="character" w:customStyle="1" w:styleId="HeaderChar">
    <w:name w:val="Header Char"/>
    <w:basedOn w:val="DefaultParagraphFont"/>
    <w:link w:val="Header"/>
    <w:uiPriority w:val="99"/>
    <w:rsid w:val="00AB5881"/>
  </w:style>
  <w:style w:type="paragraph" w:styleId="Footer">
    <w:name w:val="footer"/>
    <w:basedOn w:val="Normal"/>
    <w:link w:val="FooterChar"/>
    <w:uiPriority w:val="99"/>
    <w:unhideWhenUsed/>
    <w:rsid w:val="00AB5881"/>
    <w:pPr>
      <w:tabs>
        <w:tab w:val="center" w:pos="4513"/>
        <w:tab w:val="right" w:pos="9026"/>
      </w:tabs>
      <w:snapToGrid w:val="0"/>
    </w:pPr>
  </w:style>
  <w:style w:type="character" w:customStyle="1" w:styleId="FooterChar">
    <w:name w:val="Footer Char"/>
    <w:basedOn w:val="DefaultParagraphFont"/>
    <w:link w:val="Footer"/>
    <w:uiPriority w:val="99"/>
    <w:rsid w:val="00AB5881"/>
  </w:style>
  <w:style w:type="paragraph" w:styleId="BalloonText">
    <w:name w:val="Balloon Text"/>
    <w:basedOn w:val="Normal"/>
    <w:link w:val="BalloonTextChar"/>
    <w:uiPriority w:val="99"/>
    <w:semiHidden/>
    <w:unhideWhenUsed/>
    <w:rsid w:val="00CD2A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CD2A67"/>
    <w:rPr>
      <w:rFonts w:asciiTheme="majorHAnsi" w:eastAsiaTheme="majorEastAsia" w:hAnsiTheme="majorHAnsi" w:cstheme="majorBidi"/>
      <w:sz w:val="18"/>
      <w:szCs w:val="18"/>
    </w:rPr>
  </w:style>
  <w:style w:type="paragraph" w:customStyle="1" w:styleId="MDPI31text">
    <w:name w:val="MDPI_3.1_text"/>
    <w:qFormat/>
    <w:rsid w:val="002A2E59"/>
    <w:pPr>
      <w:adjustRightInd w:val="0"/>
      <w:snapToGrid w:val="0"/>
      <w:spacing w:after="0" w:line="228" w:lineRule="auto"/>
      <w:ind w:left="2608" w:firstLine="425"/>
    </w:pPr>
    <w:rPr>
      <w:rFonts w:ascii="Palatino Linotype" w:eastAsia="Times New Roman" w:hAnsi="Palatino Linotype" w:cs="Times New Roman"/>
      <w:snapToGrid w:val="0"/>
      <w:color w:val="000000"/>
      <w:kern w:val="0"/>
      <w:lang w:eastAsia="de-DE" w:bidi="en-US"/>
    </w:rPr>
  </w:style>
  <w:style w:type="character" w:styleId="Hyperlink">
    <w:name w:val="Hyperlink"/>
    <w:basedOn w:val="DefaultParagraphFont"/>
    <w:uiPriority w:val="99"/>
    <w:unhideWhenUsed/>
    <w:rsid w:val="001C2485"/>
    <w:rPr>
      <w:color w:val="0563C1" w:themeColor="hyperlink"/>
      <w:u w:val="single"/>
    </w:rPr>
  </w:style>
  <w:style w:type="character" w:styleId="LineNumber">
    <w:name w:val="line number"/>
    <w:basedOn w:val="DefaultParagraphFont"/>
    <w:uiPriority w:val="99"/>
    <w:semiHidden/>
    <w:unhideWhenUsed/>
    <w:rsid w:val="003B4A51"/>
  </w:style>
  <w:style w:type="paragraph" w:styleId="Caption">
    <w:name w:val="caption"/>
    <w:basedOn w:val="Normal"/>
    <w:next w:val="Normal"/>
    <w:uiPriority w:val="35"/>
    <w:unhideWhenUsed/>
    <w:qFormat/>
    <w:rsid w:val="00571508"/>
    <w:pPr>
      <w:spacing w:after="200" w:line="240" w:lineRule="auto"/>
    </w:pPr>
    <w:rPr>
      <w:i/>
      <w:iCs/>
      <w:color w:val="44546A" w:themeColor="text2"/>
      <w:sz w:val="18"/>
      <w:szCs w:val="18"/>
    </w:rPr>
  </w:style>
  <w:style w:type="paragraph" w:styleId="NormalWeb">
    <w:name w:val="Normal (Web)"/>
    <w:basedOn w:val="Normal"/>
    <w:uiPriority w:val="99"/>
    <w:semiHidden/>
    <w:unhideWhenUsed/>
    <w:rsid w:val="003548D6"/>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rPr>
  </w:style>
  <w:style w:type="character" w:customStyle="1" w:styleId="cf01">
    <w:name w:val="cf01"/>
    <w:basedOn w:val="DefaultParagraphFont"/>
    <w:rsid w:val="0043235F"/>
    <w:rPr>
      <w:rFonts w:ascii="Segoe UI" w:hAnsi="Segoe UI" w:cs="Segoe UI" w:hint="default"/>
      <w:sz w:val="18"/>
      <w:szCs w:val="18"/>
    </w:rPr>
  </w:style>
  <w:style w:type="character" w:styleId="CommentReference">
    <w:name w:val="annotation reference"/>
    <w:basedOn w:val="DefaultParagraphFont"/>
    <w:uiPriority w:val="99"/>
    <w:semiHidden/>
    <w:unhideWhenUsed/>
    <w:rsid w:val="0043235F"/>
    <w:rPr>
      <w:sz w:val="16"/>
      <w:szCs w:val="16"/>
    </w:rPr>
  </w:style>
  <w:style w:type="paragraph" w:styleId="CommentText">
    <w:name w:val="annotation text"/>
    <w:basedOn w:val="Normal"/>
    <w:link w:val="CommentTextChar"/>
    <w:uiPriority w:val="99"/>
    <w:unhideWhenUsed/>
    <w:rsid w:val="0043235F"/>
    <w:pPr>
      <w:spacing w:line="240" w:lineRule="auto"/>
    </w:pPr>
    <w:rPr>
      <w:szCs w:val="20"/>
    </w:rPr>
  </w:style>
  <w:style w:type="character" w:customStyle="1" w:styleId="CommentTextChar">
    <w:name w:val="Comment Text Char"/>
    <w:basedOn w:val="DefaultParagraphFont"/>
    <w:link w:val="CommentText"/>
    <w:uiPriority w:val="99"/>
    <w:rsid w:val="0043235F"/>
    <w:rPr>
      <w:szCs w:val="20"/>
    </w:rPr>
  </w:style>
  <w:style w:type="paragraph" w:styleId="CommentSubject">
    <w:name w:val="annotation subject"/>
    <w:basedOn w:val="CommentText"/>
    <w:next w:val="CommentText"/>
    <w:link w:val="CommentSubjectChar"/>
    <w:uiPriority w:val="99"/>
    <w:semiHidden/>
    <w:unhideWhenUsed/>
    <w:rsid w:val="0043235F"/>
    <w:rPr>
      <w:b/>
      <w:bCs/>
    </w:rPr>
  </w:style>
  <w:style w:type="character" w:customStyle="1" w:styleId="CommentSubjectChar">
    <w:name w:val="Comment Subject Char"/>
    <w:basedOn w:val="CommentTextChar"/>
    <w:link w:val="CommentSubject"/>
    <w:uiPriority w:val="99"/>
    <w:semiHidden/>
    <w:rsid w:val="0043235F"/>
    <w:rPr>
      <w:b/>
      <w:bCs/>
      <w:szCs w:val="20"/>
    </w:rPr>
  </w:style>
  <w:style w:type="paragraph" w:styleId="Revision">
    <w:name w:val="Revision"/>
    <w:hidden/>
    <w:uiPriority w:val="99"/>
    <w:semiHidden/>
    <w:rsid w:val="000B49AF"/>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81169">
      <w:bodyDiv w:val="1"/>
      <w:marLeft w:val="0"/>
      <w:marRight w:val="0"/>
      <w:marTop w:val="0"/>
      <w:marBottom w:val="0"/>
      <w:divBdr>
        <w:top w:val="none" w:sz="0" w:space="0" w:color="auto"/>
        <w:left w:val="none" w:sz="0" w:space="0" w:color="auto"/>
        <w:bottom w:val="none" w:sz="0" w:space="0" w:color="auto"/>
        <w:right w:val="none" w:sz="0" w:space="0" w:color="auto"/>
      </w:divBdr>
    </w:div>
    <w:div w:id="155538379">
      <w:bodyDiv w:val="1"/>
      <w:marLeft w:val="0"/>
      <w:marRight w:val="0"/>
      <w:marTop w:val="0"/>
      <w:marBottom w:val="0"/>
      <w:divBdr>
        <w:top w:val="none" w:sz="0" w:space="0" w:color="auto"/>
        <w:left w:val="none" w:sz="0" w:space="0" w:color="auto"/>
        <w:bottom w:val="none" w:sz="0" w:space="0" w:color="auto"/>
        <w:right w:val="none" w:sz="0" w:space="0" w:color="auto"/>
      </w:divBdr>
    </w:div>
    <w:div w:id="384260739">
      <w:bodyDiv w:val="1"/>
      <w:marLeft w:val="0"/>
      <w:marRight w:val="0"/>
      <w:marTop w:val="0"/>
      <w:marBottom w:val="0"/>
      <w:divBdr>
        <w:top w:val="none" w:sz="0" w:space="0" w:color="auto"/>
        <w:left w:val="none" w:sz="0" w:space="0" w:color="auto"/>
        <w:bottom w:val="none" w:sz="0" w:space="0" w:color="auto"/>
        <w:right w:val="none" w:sz="0" w:space="0" w:color="auto"/>
      </w:divBdr>
    </w:div>
    <w:div w:id="760371945">
      <w:bodyDiv w:val="1"/>
      <w:marLeft w:val="0"/>
      <w:marRight w:val="0"/>
      <w:marTop w:val="0"/>
      <w:marBottom w:val="0"/>
      <w:divBdr>
        <w:top w:val="none" w:sz="0" w:space="0" w:color="auto"/>
        <w:left w:val="none" w:sz="0" w:space="0" w:color="auto"/>
        <w:bottom w:val="none" w:sz="0" w:space="0" w:color="auto"/>
        <w:right w:val="none" w:sz="0" w:space="0" w:color="auto"/>
      </w:divBdr>
    </w:div>
    <w:div w:id="1285120300">
      <w:bodyDiv w:val="1"/>
      <w:marLeft w:val="0"/>
      <w:marRight w:val="0"/>
      <w:marTop w:val="0"/>
      <w:marBottom w:val="0"/>
      <w:divBdr>
        <w:top w:val="none" w:sz="0" w:space="0" w:color="auto"/>
        <w:left w:val="none" w:sz="0" w:space="0" w:color="auto"/>
        <w:bottom w:val="none" w:sz="0" w:space="0" w:color="auto"/>
        <w:right w:val="none" w:sz="0" w:space="0" w:color="auto"/>
      </w:divBdr>
    </w:div>
    <w:div w:id="1297686518">
      <w:bodyDiv w:val="1"/>
      <w:marLeft w:val="0"/>
      <w:marRight w:val="0"/>
      <w:marTop w:val="0"/>
      <w:marBottom w:val="0"/>
      <w:divBdr>
        <w:top w:val="none" w:sz="0" w:space="0" w:color="auto"/>
        <w:left w:val="none" w:sz="0" w:space="0" w:color="auto"/>
        <w:bottom w:val="none" w:sz="0" w:space="0" w:color="auto"/>
        <w:right w:val="none" w:sz="0" w:space="0" w:color="auto"/>
      </w:divBdr>
    </w:div>
    <w:div w:id="1591935685">
      <w:bodyDiv w:val="1"/>
      <w:marLeft w:val="0"/>
      <w:marRight w:val="0"/>
      <w:marTop w:val="0"/>
      <w:marBottom w:val="0"/>
      <w:divBdr>
        <w:top w:val="none" w:sz="0" w:space="0" w:color="auto"/>
        <w:left w:val="none" w:sz="0" w:space="0" w:color="auto"/>
        <w:bottom w:val="none" w:sz="0" w:space="0" w:color="auto"/>
        <w:right w:val="none" w:sz="0" w:space="0" w:color="auto"/>
      </w:divBdr>
    </w:div>
    <w:div w:id="168809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3B910-6F61-47ED-8F27-BE0B9BBBB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1784</Words>
  <Characters>10175</Characters>
  <Application>Microsoft Office Word</Application>
  <DocSecurity>0</DocSecurity>
  <Lines>84</Lines>
  <Paragraphs>23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Sik Lee</dc:creator>
  <cp:keywords/>
  <dc:description/>
  <cp:lastModifiedBy>LEE Wangsik</cp:lastModifiedBy>
  <cp:revision>8</cp:revision>
  <cp:lastPrinted>2022-09-15T08:00:00Z</cp:lastPrinted>
  <dcterms:created xsi:type="dcterms:W3CDTF">2025-12-03T14:52:00Z</dcterms:created>
  <dcterms:modified xsi:type="dcterms:W3CDTF">2025-12-04T12:31:00Z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http://www.zotero.org/styles/advanced-functional-materials</vt:lpwstr>
  </property>
  <property fmtid="{D5CDD505-2E9C-101B-9397-08002B2CF9AE}" pid="3" name="Mendeley Recent Style Name 0_1">
    <vt:lpwstr>Advanced Functional Materials</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http://www.zotero.org/styles/science-of-the-total-environment</vt:lpwstr>
  </property>
  <property fmtid="{D5CDD505-2E9C-101B-9397-08002B2CF9AE}" pid="13" name="Mendeley Recent Style Name 5_1">
    <vt:lpwstr>Science of the Total Environment</vt:lpwstr>
  </property>
  <property fmtid="{D5CDD505-2E9C-101B-9397-08002B2CF9AE}" pid="14" name="Mendeley Recent Style Id 6_1">
    <vt:lpwstr>http://www.zotero.org/styles/small</vt:lpwstr>
  </property>
  <property fmtid="{D5CDD505-2E9C-101B-9397-08002B2CF9AE}" pid="15" name="Mendeley Recent Style Name 6_1">
    <vt:lpwstr>Small</vt:lpwstr>
  </property>
  <property fmtid="{D5CDD505-2E9C-101B-9397-08002B2CF9AE}" pid="16" name="Mendeley Recent Style Id 7_1">
    <vt:lpwstr>http://www.zotero.org/styles/springer-basic-author-date-no-et-al-with-issue</vt:lpwstr>
  </property>
  <property fmtid="{D5CDD505-2E9C-101B-9397-08002B2CF9AE}" pid="17" name="Mendeley Recent Style Name 7_1">
    <vt:lpwstr>Springer - Basic (author-date, no "et al.", with issue numbers)</vt:lpwstr>
  </property>
  <property fmtid="{D5CDD505-2E9C-101B-9397-08002B2CF9AE}" pid="18" name="Mendeley Recent Style Id 8_1">
    <vt:lpwstr>http://www.zotero.org/styles/springer-basic-brackets</vt:lpwstr>
  </property>
  <property fmtid="{D5CDD505-2E9C-101B-9397-08002B2CF9AE}" pid="19" name="Mendeley Recent Style Name 8_1">
    <vt:lpwstr>Springer - Basic (numeric, brackets)</vt:lpwstr>
  </property>
  <property fmtid="{D5CDD505-2E9C-101B-9397-08002B2CF9AE}" pid="20" name="Mendeley Recent Style Id 9_1">
    <vt:lpwstr>http://www.zotero.org/styles/springer-basic-brackets-no-et-al</vt:lpwstr>
  </property>
  <property fmtid="{D5CDD505-2E9C-101B-9397-08002B2CF9AE}" pid="21" name="Mendeley Recent Style Name 9_1">
    <vt:lpwstr>Springer - Basic (numeric, brackets, no "et al.")</vt:lpwstr>
  </property>
  <property fmtid="{D5CDD505-2E9C-101B-9397-08002B2CF9AE}" pid="22" name="Mendeley Document_1">
    <vt:lpwstr>True</vt:lpwstr>
  </property>
  <property fmtid="{D5CDD505-2E9C-101B-9397-08002B2CF9AE}" pid="23" name="Mendeley Unique User Id_1">
    <vt:lpwstr>3f1b6ae3-bc48-3b2e-9fba-8e665e717dd9</vt:lpwstr>
  </property>
  <property fmtid="{D5CDD505-2E9C-101B-9397-08002B2CF9AE}" pid="24" name="Mendeley Citation Style_1">
    <vt:lpwstr>http://www.zotero.org/styles/advanced-functional-materials</vt:lpwstr>
  </property>
  <property fmtid="{D5CDD505-2E9C-101B-9397-08002B2CF9AE}" pid="25" name="GrammarlyDocumentId">
    <vt:lpwstr>a56e9a6964a194a0ed5e998f9e31ee6600aba8d62c8862fa02a3926ecfedf39d</vt:lpwstr>
  </property>
</Properties>
</file>